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2D90">
      <w:pPr>
        <w:jc w:val="center"/>
        <w:rPr>
          <w:rFonts w:hint="default" w:ascii="Times New Roman" w:hAnsi="Times New Roman" w:cs="Times New Roman" w:eastAsiaTheme="majorEastAsia"/>
          <w:b/>
          <w:color w:val="000000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32"/>
          <w:szCs w:val="32"/>
        </w:rPr>
        <w:t> </w:t>
      </w:r>
    </w:p>
    <w:p w14:paraId="580EAA4D">
      <w:pPr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82564AC">
      <w:pPr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D63D248">
      <w:pPr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52687FB6">
      <w:pPr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54FE936A">
      <w:pPr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中国广电山东网络有限公司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 w:bidi="ar"/>
        </w:rPr>
        <w:t>北京银行专线设备采购项目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询价文件</w:t>
      </w:r>
    </w:p>
    <w:p w14:paraId="2976B4A4">
      <w:pPr>
        <w:jc w:val="center"/>
        <w:rPr>
          <w:rFonts w:hint="default" w:ascii="Times New Roman" w:hAnsi="Times New Roman" w:cs="Times New Roman"/>
          <w:sz w:val="44"/>
        </w:rPr>
      </w:pPr>
    </w:p>
    <w:p w14:paraId="2AC3D6B3">
      <w:pPr>
        <w:jc w:val="center"/>
        <w:rPr>
          <w:rFonts w:hint="default" w:ascii="Times New Roman" w:hAnsi="Times New Roman" w:cs="Times New Roman"/>
          <w:sz w:val="44"/>
        </w:rPr>
      </w:pPr>
    </w:p>
    <w:p w14:paraId="1A98DBEE">
      <w:pPr>
        <w:jc w:val="center"/>
        <w:rPr>
          <w:rFonts w:hint="default" w:ascii="Times New Roman" w:hAnsi="Times New Roman" w:eastAsia="黑体" w:cs="Times New Roman"/>
          <w:sz w:val="44"/>
        </w:rPr>
      </w:pPr>
    </w:p>
    <w:p w14:paraId="5B114D98">
      <w:pPr>
        <w:jc w:val="center"/>
        <w:rPr>
          <w:rFonts w:hint="default" w:ascii="Times New Roman" w:hAnsi="Times New Roman" w:eastAsia="黑体" w:cs="Times New Roman"/>
          <w:sz w:val="44"/>
        </w:rPr>
      </w:pPr>
    </w:p>
    <w:p w14:paraId="49279EC5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7630D4B7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472981A7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160B634D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3122A029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59BE613A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213D4395">
      <w:pPr>
        <w:pStyle w:val="10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hint="default" w:ascii="Times New Roman" w:hAnsi="Times New Roman" w:eastAsia="黑体" w:cs="Times New Roman"/>
          <w:kern w:val="2"/>
        </w:rPr>
      </w:pPr>
    </w:p>
    <w:p w14:paraId="6802F98A">
      <w:pPr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二○二四年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 w:bidi="ar"/>
        </w:rPr>
        <w:t>十二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月</w:t>
      </w:r>
    </w:p>
    <w:p w14:paraId="0F6042C1">
      <w:pPr>
        <w:ind w:firstLine="3600" w:firstLineChars="1000"/>
        <w:rPr>
          <w:rFonts w:hint="default" w:ascii="Times New Roman" w:hAnsi="Times New Roman" w:eastAsia="黑体" w:cs="Times New Roman"/>
          <w:sz w:val="36"/>
        </w:rPr>
      </w:pPr>
    </w:p>
    <w:p w14:paraId="627FD2D5">
      <w:pPr>
        <w:spacing w:line="500" w:lineRule="exact"/>
        <w:rPr>
          <w:rFonts w:hint="default" w:ascii="Times New Roman" w:hAnsi="Times New Roman" w:eastAsia="黑体" w:cs="Times New Roman"/>
          <w:b/>
          <w:sz w:val="32"/>
        </w:rPr>
      </w:pPr>
    </w:p>
    <w:p w14:paraId="79F7F14B">
      <w:pPr>
        <w:spacing w:line="500" w:lineRule="exact"/>
        <w:rPr>
          <w:rFonts w:hint="default" w:ascii="Times New Roman" w:hAnsi="Times New Roman" w:eastAsia="黑体" w:cs="Times New Roman"/>
          <w:b/>
          <w:sz w:val="32"/>
        </w:rPr>
      </w:pPr>
    </w:p>
    <w:p w14:paraId="342C1498">
      <w:pPr>
        <w:spacing w:line="500" w:lineRule="exact"/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</w:p>
    <w:p w14:paraId="5E7D7DDA">
      <w:pPr>
        <w:pStyle w:val="4"/>
        <w:adjustRightInd w:val="0"/>
        <w:snapToGrid w:val="0"/>
        <w:spacing w:before="0" w:line="360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中国广电山东网络有限公司就</w:t>
      </w:r>
      <w:r>
        <w:rPr>
          <w:rFonts w:hint="default" w:ascii="Times New Roman" w:hAnsi="Times New Roman" w:cs="Times New Roman"/>
          <w:lang w:eastAsia="zh-CN"/>
        </w:rPr>
        <w:t>北京银行专线设备采购项目</w:t>
      </w:r>
      <w:r>
        <w:rPr>
          <w:rFonts w:hint="default" w:ascii="Times New Roman" w:hAnsi="Times New Roman" w:cs="Times New Roman"/>
        </w:rPr>
        <w:t>通过询价的方式进行采购，欢迎符合条件的供应商参加。</w:t>
      </w:r>
    </w:p>
    <w:p w14:paraId="39AE1008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一、采购人名称：中国广电山东网络有限公司</w:t>
      </w:r>
    </w:p>
    <w:p w14:paraId="0F5DA0EE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二、采购项目名称：</w:t>
      </w:r>
      <w:r>
        <w:rPr>
          <w:rFonts w:hint="default" w:ascii="Times New Roman" w:hAnsi="Times New Roman" w:cs="Times New Roman"/>
          <w:lang w:eastAsia="zh-CN"/>
        </w:rPr>
        <w:t>北京银行专线设备采购项目</w:t>
      </w:r>
    </w:p>
    <w:p w14:paraId="5A877225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三、项目编号：SDGD2024-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9</w:t>
      </w:r>
    </w:p>
    <w:p w14:paraId="6BDD1E6F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四、供应商资格要求：</w:t>
      </w:r>
    </w:p>
    <w:p w14:paraId="602000A9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1.在中华人民共和国境内注册的独立法人，需提供有效的营业执照；</w:t>
      </w:r>
    </w:p>
    <w:p w14:paraId="26AEF33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2.具有良好的商业信誉和健全的财务会计制度，具有本项目履约能力；</w:t>
      </w:r>
    </w:p>
    <w:p w14:paraId="246C1B69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3.参加此项采购活动前三年内（202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 xml:space="preserve"> 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月1日至今），在经营活动中没有重大违法记录；</w:t>
      </w:r>
    </w:p>
    <w:p w14:paraId="239BDF7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4.信誉要求：供应商自202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月1日至今无社会信誉问题；</w:t>
      </w:r>
    </w:p>
    <w:p w14:paraId="5C38FB2F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5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公告发出之后）； </w:t>
      </w:r>
    </w:p>
    <w:p w14:paraId="19EF6AC8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.本项目不允许联合体投标。</w:t>
      </w:r>
    </w:p>
    <w:p w14:paraId="41937D5F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五、项目概况：</w:t>
      </w:r>
    </w:p>
    <w:p w14:paraId="1F7CC054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1.采购清单：</w:t>
      </w:r>
    </w:p>
    <w:tbl>
      <w:tblPr>
        <w:tblStyle w:val="7"/>
        <w:tblW w:w="5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20"/>
        <w:gridCol w:w="1800"/>
        <w:gridCol w:w="740"/>
      </w:tblGrid>
      <w:tr w14:paraId="5F425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DCEF3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47F1A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1D076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描述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11CF3F">
            <w:pPr>
              <w:widowControl/>
              <w:ind w:right="-61" w:rightChars="-29"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总数</w:t>
            </w:r>
          </w:p>
        </w:tc>
      </w:tr>
      <w:tr w14:paraId="12AE8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C545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1AEB4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TMBK01AFB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D45E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总装机箱(OptiX OSN 1800 II TP,DC)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22BF43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 </w:t>
            </w:r>
          </w:p>
        </w:tc>
      </w:tr>
      <w:tr w14:paraId="6B114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C67F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4BE3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ELOM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EAB3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增强型8路任意速率业务汇聚波长转换板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6E5AE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 </w:t>
            </w:r>
          </w:p>
        </w:tc>
      </w:tr>
      <w:tr w14:paraId="1E3E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657A2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887A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ETP48100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12EF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交转直电源（含2*50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整流模块）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0B3D83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 </w:t>
            </w:r>
          </w:p>
        </w:tc>
      </w:tr>
      <w:tr w14:paraId="7B9C0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D615E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A600B14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8814203140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634015B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光传送新建实施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(WDM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特性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6EB39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 </w:t>
            </w:r>
          </w:p>
        </w:tc>
      </w:tr>
    </w:tbl>
    <w:p w14:paraId="6E54B717">
      <w:pPr>
        <w:rPr>
          <w:rFonts w:hint="default" w:ascii="Times New Roman" w:hAnsi="Times New Roman" w:cs="Times New Roman"/>
        </w:rPr>
      </w:pPr>
    </w:p>
    <w:p w14:paraId="4AF57301">
      <w:pPr>
        <w:pStyle w:val="4"/>
        <w:numPr>
          <w:ilvl w:val="0"/>
          <w:numId w:val="1"/>
        </w:numPr>
        <w:adjustRightInd w:val="0"/>
        <w:snapToGrid w:val="0"/>
        <w:spacing w:before="0"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技术指标：</w:t>
      </w:r>
    </w:p>
    <w:p w14:paraId="67BD04E8"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本期业务双纤双向环系统，线路侧波道容量可扩容至40波，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一波</w:t>
      </w:r>
      <w:r>
        <w:rPr>
          <w:rFonts w:hint="eastAsia" w:ascii="宋体" w:hAnsi="宋体" w:eastAsia="宋体" w:cs="宋体"/>
          <w:sz w:val="24"/>
          <w:szCs w:val="24"/>
        </w:rPr>
        <w:t>10G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满足3至5年的业务发展需求。</w:t>
      </w:r>
    </w:p>
    <w:p w14:paraId="7A07F374"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两个站点光缆距离大约15公里左右，配置的设备要满足光缆距离。</w:t>
      </w:r>
    </w:p>
    <w:p w14:paraId="0B3475CF"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设备应采用模块化的硬件结构，便于硬件和业务的扩充。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站点通用业务槽位不能小于8个，且留有合理得空余业务槽位。</w:t>
      </w:r>
    </w:p>
    <w:p w14:paraId="14236B9C"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各站点配备的客户侧板卡上端口数不少于8个，客户侧采用可插拔模块，支持FE, STM-1, STM-4,GE, ISC 2G, STM-16, OC-48, InfiniBand 2.5G, OTU1等多种类型，本次配置GE电口/光口模块；其中光口模块支持双纤，单模；电口支持100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M/1000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M。一个站点端口配置电口，另一个站点配置光口。</w:t>
      </w:r>
    </w:p>
    <w:p w14:paraId="19C4A55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所投设备网管系统采用中文界面，与现网网管/设备业务对接的兼容性，承诺业务平滑割接，并在割接期间安排人员配合，不单独增加任何费用。</w:t>
      </w:r>
    </w:p>
    <w:p w14:paraId="3801631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业务倒换时间应小于50ms。业务保护方式须灵活选择板内1+1或ODUk SNCP等方式。</w:t>
      </w:r>
    </w:p>
    <w:p w14:paraId="7A575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本项目为交钥匙工程，设备厂商负责本项目的各项设计、供货及施工。</w:t>
      </w:r>
    </w:p>
    <w:p w14:paraId="25800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val="en-US" w:eastAsia="zh-CN" w:bidi="ar-SA"/>
        </w:rPr>
        <w:t>上述设备品牌为华为品牌，</w:t>
      </w:r>
      <w:r>
        <w:rPr>
          <w:rFonts w:hint="default" w:ascii="Times New Roman" w:hAnsi="Times New Roman" w:cs="Times New Roman"/>
          <w:b/>
        </w:rPr>
        <w:t>以上设备须为原厂</w:t>
      </w:r>
      <w:r>
        <w:rPr>
          <w:rFonts w:hint="eastAsia" w:ascii="Times New Roman" w:hAnsi="Times New Roman" w:cs="Times New Roman"/>
          <w:b/>
          <w:lang w:val="en-US" w:eastAsia="zh-CN"/>
        </w:rPr>
        <w:t>未停产</w:t>
      </w:r>
      <w:r>
        <w:rPr>
          <w:rFonts w:hint="default" w:ascii="Times New Roman" w:hAnsi="Times New Roman" w:cs="Times New Roman"/>
          <w:b/>
        </w:rPr>
        <w:t>全新设备，所供产品一旦发现有配置不满足或外观配置未达我方技术规范，将不予付款，造成的损失由供应商自行承担。</w:t>
      </w:r>
    </w:p>
    <w:p w14:paraId="549851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default" w:ascii="Times New Roman" w:hAnsi="Times New Roman" w:eastAsia="宋体" w:cs="Times New Roman"/>
          <w:b/>
          <w:lang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t>3</w:t>
      </w:r>
      <w:r>
        <w:rPr>
          <w:rFonts w:hint="default" w:ascii="Times New Roman" w:hAnsi="Times New Roman" w:cs="Times New Roman"/>
          <w:b/>
        </w:rPr>
        <w:t>. 供货及实施周期</w:t>
      </w:r>
      <w:r>
        <w:rPr>
          <w:rFonts w:hint="eastAsia" w:ascii="Times New Roman" w:hAnsi="Times New Roman" w:cs="Times New Roman"/>
          <w:b/>
          <w:lang w:eastAsia="zh-CN"/>
        </w:rPr>
        <w:t>：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春节前供货完成，2月14号前完成测试和业务割接</w:t>
      </w:r>
      <w:r>
        <w:rPr>
          <w:rFonts w:hint="default" w:ascii="Times New Roman" w:hAnsi="Times New Roman" w:cs="Times New Roman"/>
          <w:b/>
        </w:rPr>
        <w:t>，</w:t>
      </w:r>
      <w:r>
        <w:rPr>
          <w:rFonts w:hint="default" w:ascii="Times New Roman" w:hAnsi="Times New Roman" w:cs="Times New Roman"/>
          <w:b/>
          <w:lang w:eastAsia="zh-CN"/>
        </w:rPr>
        <w:t>质保期</w:t>
      </w:r>
      <w:r>
        <w:rPr>
          <w:rFonts w:hint="eastAsia" w:ascii="Times New Roman" w:hAnsi="Times New Roman" w:cs="Times New Roman"/>
          <w:b/>
          <w:lang w:val="en-US" w:eastAsia="zh-CN"/>
        </w:rPr>
        <w:t>3</w:t>
      </w:r>
      <w:r>
        <w:rPr>
          <w:rFonts w:hint="default" w:ascii="Times New Roman" w:hAnsi="Times New Roman" w:cs="Times New Roman"/>
          <w:b/>
          <w:lang w:eastAsia="zh-CN"/>
        </w:rPr>
        <w:t>年。</w:t>
      </w:r>
    </w:p>
    <w:p w14:paraId="299C3799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六、报价文件内容要求（未提供的文件自拟）（以下文件均需加盖公章）：</w:t>
      </w:r>
    </w:p>
    <w:p w14:paraId="59C76385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1.法人承诺书、法人代表资格证明书、身份证；</w:t>
      </w:r>
    </w:p>
    <w:p w14:paraId="1F75C0C6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2.若授权代表参加须提供法人授权委托书、身份证；</w:t>
      </w:r>
    </w:p>
    <w:p w14:paraId="60505800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3.营业执照、资质证书等资料；</w:t>
      </w:r>
    </w:p>
    <w:p w14:paraId="0C956C0A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4.华为经销商或代理商资格；</w:t>
      </w:r>
    </w:p>
    <w:p w14:paraId="6DFCDDD5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5.无</w:t>
      </w:r>
      <w:r>
        <w:rPr>
          <w:rFonts w:hint="default" w:ascii="Times New Roman" w:hAnsi="Times New Roman" w:cs="Times New Roman"/>
        </w:rPr>
        <w:t>重大违法记录</w:t>
      </w:r>
      <w:r>
        <w:rPr>
          <w:rFonts w:hint="eastAsia" w:ascii="Times New Roman" w:hAnsi="Times New Roman" w:cs="Times New Roman"/>
          <w:lang w:val="en-US" w:eastAsia="zh-CN"/>
        </w:rPr>
        <w:t>承诺书、信用截图；</w:t>
      </w:r>
    </w:p>
    <w:p w14:paraId="582A1B27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.报价一览表；</w:t>
      </w:r>
    </w:p>
    <w:p w14:paraId="6858CD1B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.报价明细表；</w:t>
      </w:r>
    </w:p>
    <w:p w14:paraId="40B0A11E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.其他商务材料。</w:t>
      </w:r>
    </w:p>
    <w:p w14:paraId="6ECF01E6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七、供应商报价文件送达时间及地点</w:t>
      </w:r>
    </w:p>
    <w:p w14:paraId="6F4CF0F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1．报价时间：2024年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14:00点定时递交报价文件，2024年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14:00开标。（北京时间）</w:t>
      </w:r>
    </w:p>
    <w:p w14:paraId="53DB5FB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报价形式：供应商应将报价文件含项目名称、项目编号、供应商名称、地址和联系方式，于2024年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14:00（北京时间，超时不予</w:t>
      </w:r>
      <w:bookmarkStart w:id="9" w:name="_GoBack"/>
      <w:bookmarkEnd w:id="9"/>
      <w:r>
        <w:rPr>
          <w:rFonts w:hint="default" w:ascii="Times New Roman" w:hAnsi="Times New Roman" w:cs="Times New Roman"/>
        </w:rPr>
        <w:t>接受）定时发送至</w:t>
      </w:r>
      <w:r>
        <w:rPr>
          <w:rFonts w:hint="eastAsia" w:ascii="Times New Roman" w:hAnsi="Times New Roman" w:cs="Times New Roman"/>
          <w:lang w:val="en-US" w:eastAsia="zh-CN"/>
        </w:rPr>
        <w:t>996679284</w:t>
      </w:r>
      <w:r>
        <w:rPr>
          <w:rFonts w:hint="default" w:ascii="Times New Roman" w:hAnsi="Times New Roman" w:cs="Times New Roman"/>
        </w:rPr>
        <w:t>@</w:t>
      </w:r>
      <w:r>
        <w:rPr>
          <w:rFonts w:hint="eastAsia" w:ascii="Times New Roman" w:hAnsi="Times New Roman" w:cs="Times New Roman"/>
          <w:lang w:val="en-US" w:eastAsia="zh-CN"/>
        </w:rPr>
        <w:t>qq</w:t>
      </w:r>
      <w:r>
        <w:rPr>
          <w:rFonts w:hint="default" w:ascii="Times New Roman" w:hAnsi="Times New Roman" w:cs="Times New Roman"/>
        </w:rPr>
        <w:t>.com电子邮箱。</w:t>
      </w:r>
    </w:p>
    <w:p w14:paraId="5311EF26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2．地点：中国广电山东网络有限公司909室</w:t>
      </w:r>
      <w:r>
        <w:rPr>
          <w:rFonts w:hint="default" w:ascii="Times New Roman" w:hAnsi="Times New Roman" w:cs="Times New Roman"/>
          <w:color w:val="auto"/>
          <w:highlight w:val="none"/>
        </w:rPr>
        <w:t>（供应商无需到达现场）</w:t>
      </w:r>
      <w:r>
        <w:rPr>
          <w:rFonts w:hint="default" w:ascii="Times New Roman" w:hAnsi="Times New Roman" w:cs="Times New Roman"/>
        </w:rPr>
        <w:t>。</w:t>
      </w:r>
    </w:p>
    <w:p w14:paraId="1711A0B2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八、发布公告的媒介：</w:t>
      </w:r>
    </w:p>
    <w:p w14:paraId="55E46F10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本询价公告同时在中国广电山东网络有限公司官网、山东省采购与招标网上发布。</w:t>
      </w:r>
    </w:p>
    <w:p w14:paraId="478D59C2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九、联系方式</w:t>
      </w:r>
    </w:p>
    <w:p w14:paraId="16F38305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val="en-US" w:eastAsia="zh-CN"/>
        </w:rPr>
        <w:t>许女士</w:t>
      </w:r>
      <w:r>
        <w:rPr>
          <w:rFonts w:hint="default" w:ascii="Times New Roman" w:hAnsi="Times New Roman" w:cs="Times New Roman"/>
        </w:rPr>
        <w:t xml:space="preserve">  联系电话：0531-56060</w:t>
      </w:r>
      <w:r>
        <w:rPr>
          <w:rFonts w:hint="eastAsia" w:ascii="Times New Roman" w:hAnsi="Times New Roman" w:cs="Times New Roman"/>
          <w:lang w:val="en-US" w:eastAsia="zh-CN"/>
        </w:rPr>
        <w:t>589</w:t>
      </w:r>
      <w:r>
        <w:rPr>
          <w:rFonts w:hint="default" w:ascii="Times New Roman" w:hAnsi="Times New Roman" w:cs="Times New Roman"/>
        </w:rPr>
        <w:t xml:space="preserve"> </w:t>
      </w:r>
    </w:p>
    <w:p w14:paraId="68D9215E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地址：济南市历下区洪山路1号广电网络大厦A座。</w:t>
      </w:r>
    </w:p>
    <w:p w14:paraId="67761200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十、关于报价：</w:t>
      </w:r>
    </w:p>
    <w:p w14:paraId="45BBE87F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b/>
          <w:color w:val="auto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highlight w:val="none"/>
        </w:rPr>
        <w:t>1.本次采购报价为一次不得更改报价，供应商只有一次报价的机会。</w:t>
      </w:r>
    </w:p>
    <w:p w14:paraId="5D6AC61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2.</w:t>
      </w:r>
      <w:r>
        <w:rPr>
          <w:rFonts w:hint="default" w:ascii="Times New Roman" w:hAnsi="Times New Roman" w:cs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 w14:paraId="6554E10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3.供应商报价不得有选择性和附有条件，否则其报价无效。</w:t>
      </w:r>
    </w:p>
    <w:p w14:paraId="274DF381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</w:rPr>
        <w:t>.报价有效期：自报价之日起90日历日。</w:t>
      </w:r>
    </w:p>
    <w:p w14:paraId="1FF17B91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十一、付款时间</w:t>
      </w:r>
    </w:p>
    <w:p w14:paraId="662688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货物经乙方到货、安装、调试，经双方共同验收合格之日起20个工作日内，甲方向乙方，支付合同金额的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100</w:t>
      </w:r>
      <w:r>
        <w:rPr>
          <w:rFonts w:hint="default" w:ascii="Times New Roman" w:hAnsi="Times New Roman" w:cs="Times New Roman"/>
          <w:highlight w:val="none"/>
        </w:rPr>
        <w:t>%的款项。</w:t>
      </w:r>
    </w:p>
    <w:p w14:paraId="6187F1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239A2AE8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十二、合格供应商在符合项目采购要求的前提下，最低价成交，请投标单位诚实报价，采购方一旦发现投标单位有违法违规现象，该投标方将进入采购方供应商黑名单，永不合作。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1B7C9568">
      <w:pPr>
        <w:pStyle w:val="2"/>
        <w:pageBreakBefore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bookmarkStart w:id="0" w:name="_Toc390179800"/>
      <w:bookmarkStart w:id="1" w:name="_Toc39916982"/>
      <w:bookmarkStart w:id="2" w:name="_Toc31224962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附件1：报价一览表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162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35ED17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 w14:paraId="619CEB5E"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417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40BA311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总报价</w:t>
            </w:r>
          </w:p>
          <w:p w14:paraId="1818937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5C44BA7F"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小写：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元</w:t>
            </w:r>
          </w:p>
          <w:p w14:paraId="26E405AE"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大写：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元</w:t>
            </w:r>
          </w:p>
        </w:tc>
      </w:tr>
      <w:tr w14:paraId="3E6B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54B27E3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34EC8008">
            <w:pPr>
              <w:spacing w:line="420" w:lineRule="exact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E9A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 w14:paraId="0CFDDC2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7488" w:type="dxa"/>
            <w:vAlign w:val="center"/>
          </w:tcPr>
          <w:p w14:paraId="26F1E45C">
            <w:pPr>
              <w:spacing w:line="420" w:lineRule="exact"/>
              <w:ind w:firstLine="720" w:firstLineChars="3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953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221504A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32A34377">
            <w:pPr>
              <w:spacing w:line="30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EB5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8B80B8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3D176053">
            <w:pPr>
              <w:spacing w:line="30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A9F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4BCA8D0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 w14:paraId="6A8B7C5D"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 w14:paraId="25B85B3B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120DCB9D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供应商（盖章）：                   </w:t>
      </w:r>
    </w:p>
    <w:p w14:paraId="44417F50">
      <w:pPr>
        <w:spacing w:line="50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371ABF0F">
      <w:pPr>
        <w:spacing w:line="500" w:lineRule="exact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日期：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</w:p>
    <w:p w14:paraId="6B73418F">
      <w:pPr>
        <w:spacing w:line="500" w:lineRule="exact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1C7A98F8">
      <w:pPr>
        <w:spacing w:line="500" w:lineRule="exact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0444D591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bookmarkStart w:id="3" w:name="_Toc312249630"/>
      <w:bookmarkStart w:id="4" w:name="_Toc390179801"/>
      <w:bookmarkStart w:id="5" w:name="_Toc39916983"/>
    </w:p>
    <w:p w14:paraId="7268341B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 w14:paraId="731D0C83">
      <w:pPr>
        <w:spacing w:line="500" w:lineRule="exact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</w:p>
    <w:p w14:paraId="16206EBA">
      <w:pPr>
        <w:snapToGrid w:val="0"/>
        <w:spacing w:line="300" w:lineRule="auto"/>
        <w:ind w:right="105" w:rightChars="5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23B1D992">
      <w:pPr>
        <w:snapToGrid w:val="0"/>
        <w:spacing w:line="300" w:lineRule="auto"/>
        <w:ind w:right="105" w:rightChars="50" w:firstLine="120" w:firstLineChars="50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：</w:t>
      </w:r>
    </w:p>
    <w:p w14:paraId="57A185C2">
      <w:pPr>
        <w:spacing w:line="50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71138EC4">
      <w:pPr>
        <w:pStyle w:val="3"/>
        <w:spacing w:line="90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我方已收到并认真阅读了《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》规定的全部条件和义务。我方承诺按照《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项目询价文件》所规定的全部条件和义务执行。否则，愿意接受询价文件规定的处罚，并承当相应的法律责任。</w:t>
      </w:r>
    </w:p>
    <w:p w14:paraId="3AA64533">
      <w:pPr>
        <w:spacing w:line="50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4E5CCF7F">
      <w:pPr>
        <w:spacing w:line="50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34CCDCA3">
      <w:pPr>
        <w:spacing w:line="500" w:lineRule="exact"/>
        <w:ind w:firstLine="5200" w:firstLineChars="2167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供应商：         （盖章）</w:t>
      </w:r>
    </w:p>
    <w:p w14:paraId="154A4ED2">
      <w:pPr>
        <w:spacing w:line="500" w:lineRule="exact"/>
        <w:ind w:firstLine="75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1F9200D2">
      <w:pPr>
        <w:spacing w:line="500" w:lineRule="exact"/>
        <w:ind w:firstLine="5200" w:firstLineChars="2167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法定代表人：（签字或盖章）</w:t>
      </w:r>
    </w:p>
    <w:p w14:paraId="778C385C">
      <w:pPr>
        <w:spacing w:line="500" w:lineRule="exact"/>
        <w:ind w:firstLine="5040" w:firstLineChars="21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日期：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</w:p>
    <w:p w14:paraId="426EBD9B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br w:type="page"/>
      </w:r>
      <w:bookmarkStart w:id="6" w:name="_Toc390179803"/>
      <w:bookmarkStart w:id="7" w:name="_Toc3991698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 w14:paraId="437B8C4C">
      <w:pPr>
        <w:rPr>
          <w:rFonts w:hint="default" w:ascii="Times New Roman" w:hAnsi="Times New Roman" w:cs="Times New Roman"/>
          <w:color w:val="auto"/>
          <w:sz w:val="28"/>
          <w:highlight w:val="none"/>
        </w:rPr>
      </w:pPr>
    </w:p>
    <w:p w14:paraId="42ADB53B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本授权委托书声明：我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（姓名）系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（供应商名称）的法定代表人，现授权委托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（单位名称）的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（采购人）的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78F54C0B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29401171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授权代表无转委托权。特此委托。</w:t>
      </w:r>
    </w:p>
    <w:p w14:paraId="5A7C9159">
      <w:pPr>
        <w:spacing w:line="460" w:lineRule="exact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（附身份证复印件正、反面）</w:t>
      </w:r>
    </w:p>
    <w:p w14:paraId="35512C7B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42F2549A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授权代表：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性别：      年龄：</w:t>
      </w:r>
    </w:p>
    <w:p w14:paraId="76B2FD8D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7829B5E7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单位：    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部门：      职务：</w:t>
      </w:r>
    </w:p>
    <w:p w14:paraId="2D47926F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71E6A1EB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供应商：（盖章）</w:t>
      </w:r>
    </w:p>
    <w:p w14:paraId="13F6C494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55694800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法定代表人：（签字或盖章）</w:t>
      </w:r>
    </w:p>
    <w:p w14:paraId="3E816102">
      <w:pPr>
        <w:spacing w:line="460" w:lineRule="exact"/>
        <w:ind w:firstLine="75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日期：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</w:p>
    <w:p w14:paraId="556F7866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3FD1B31A">
      <w:pPr>
        <w:spacing w:line="460" w:lineRule="exact"/>
        <w:jc w:val="center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</w:p>
    <w:p w14:paraId="300CFDED">
      <w:pPr>
        <w:spacing w:line="460" w:lineRule="exact"/>
        <w:ind w:firstLine="118" w:firstLineChars="49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</w:p>
    <w:p w14:paraId="18DD6CED">
      <w:pPr>
        <w:spacing w:line="460" w:lineRule="exact"/>
        <w:ind w:firstLine="118" w:firstLineChars="49"/>
        <w:jc w:val="center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</w:p>
    <w:p w14:paraId="2EF15A3A">
      <w:pPr>
        <w:pStyle w:val="2"/>
        <w:spacing w:line="413" w:lineRule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 w14:paraId="6A916961">
      <w:pPr>
        <w:pStyle w:val="2"/>
        <w:spacing w:line="413" w:lineRule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bookmarkStart w:id="8" w:name="_Toc39017980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br w:type="page"/>
      </w:r>
      <w:bookmarkEnd w:id="8"/>
    </w:p>
    <w:p w14:paraId="61CC9D5B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附件4：法定代表人资格证明书</w:t>
      </w:r>
    </w:p>
    <w:p w14:paraId="5BBD10A5">
      <w:pPr>
        <w:spacing w:line="30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61C2D193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 应 商：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       </w:t>
      </w:r>
    </w:p>
    <w:p w14:paraId="2473D00D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单位性质：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       </w:t>
      </w:r>
    </w:p>
    <w:p w14:paraId="3975EE8C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地    址：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       </w:t>
      </w:r>
    </w:p>
    <w:p w14:paraId="054265FA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成立时间：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年    月    日</w:t>
      </w:r>
    </w:p>
    <w:p w14:paraId="2205715E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经营期限：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       </w:t>
      </w:r>
    </w:p>
    <w:p w14:paraId="05112B64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姓    名：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性        别：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</w:t>
      </w:r>
    </w:p>
    <w:p w14:paraId="7ECE1E8F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年    龄：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职        务：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</w:t>
      </w:r>
    </w:p>
    <w:p w14:paraId="59753BF4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系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（供应商名称）的法定代表人。</w:t>
      </w:r>
    </w:p>
    <w:p w14:paraId="31DA916F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特此证明。</w:t>
      </w:r>
    </w:p>
    <w:p w14:paraId="2030D269">
      <w:pPr>
        <w:spacing w:line="30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55EA0371">
      <w:pPr>
        <w:spacing w:line="300" w:lineRule="auto"/>
        <w:jc w:val="righ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（盖单位章）</w:t>
      </w:r>
    </w:p>
    <w:p w14:paraId="26BD0709">
      <w:pPr>
        <w:spacing w:line="300" w:lineRule="auto"/>
        <w:jc w:val="right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</w:p>
    <w:p w14:paraId="2E9C1FF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A36325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B0F8E4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58B7CF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F0C4827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7D9E9C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8B77FD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B47F94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45DAF51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4DEDB8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E19816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BA60A8D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151FD10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DF50CE7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B75EC50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3C4C1A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F59C39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444BBC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F869893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CAA18A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042984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7D8CC6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5C86B03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C2FE4E0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108CAA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7CCEED7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F3CC44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85A84C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1D3B89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88A923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ED595B1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6A6B6C84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附件5：报价明细表</w:t>
      </w:r>
    </w:p>
    <w:p w14:paraId="6B7E804A">
      <w:pPr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 w14:paraId="7213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821D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B161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FFF2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80A3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F683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492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3D55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5E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61E5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61C3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452F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3633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12B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7293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17E6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8C73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0191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8213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D55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971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B03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0C9E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AB18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B841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9EDC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35D5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2585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28B5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8DC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5126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E7D8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6FBE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A719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4CDF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1813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84AA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1B64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E0DD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614C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7C8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5264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391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9890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1FF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50363151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B0907D7"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注：以上报价均为含税价。</w:t>
      </w:r>
    </w:p>
    <w:p w14:paraId="4DEFFAC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1D24A7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AEBDF73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B08C22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DABBE02">
      <w:pPr>
        <w:spacing w:line="50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供应商（盖章）：</w:t>
      </w:r>
    </w:p>
    <w:p w14:paraId="4C29DBF2">
      <w:pPr>
        <w:spacing w:line="500" w:lineRule="exact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51BA92B8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7F35D9D">
      <w:pPr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</w:p>
    <w:p w14:paraId="679E7EDE">
      <w:pPr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</w:p>
    <w:p w14:paraId="5AA69417">
      <w:pPr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</w:p>
    <w:p w14:paraId="5EB45B3F">
      <w:pPr>
        <w:rPr>
          <w:rFonts w:hint="default"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 </w:t>
      </w:r>
    </w:p>
    <w:bookmarkEnd w:id="0"/>
    <w:bookmarkEnd w:id="1"/>
    <w:bookmarkEnd w:id="2"/>
    <w:p w14:paraId="6C265BB7">
      <w:pPr>
        <w:rPr>
          <w:rFonts w:hint="default" w:ascii="Times New Roman" w:hAnsi="Times New Roman" w:eastAsia="宋体" w:cs="Times New Roman"/>
          <w:sz w:val="24"/>
          <w:szCs w:val="20"/>
        </w:rPr>
      </w:pPr>
      <w:r>
        <w:rPr>
          <w:rFonts w:hint="default" w:ascii="Times New Roman" w:hAnsi="Times New Roman" w:eastAsia="宋体" w:cs="Times New Roman"/>
          <w:sz w:val="24"/>
          <w:szCs w:val="20"/>
        </w:rPr>
        <w:t xml:space="preserve">                                                                     </w:t>
      </w:r>
    </w:p>
    <w:p w14:paraId="519DCC88">
      <w:pPr>
        <w:rPr>
          <w:rFonts w:hint="default" w:ascii="Times New Roman" w:hAnsi="Times New Roman" w:cs="Times New Roman"/>
        </w:rPr>
      </w:pP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82DF0"/>
    <w:multiLevelType w:val="singleLevel"/>
    <w:tmpl w:val="F4C82DF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637D1F"/>
    <w:multiLevelType w:val="singleLevel"/>
    <w:tmpl w:val="67637D1F"/>
    <w:lvl w:ilvl="0" w:tentative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8EF17D3"/>
    <w:rsid w:val="01220485"/>
    <w:rsid w:val="01C40DDD"/>
    <w:rsid w:val="03C055D4"/>
    <w:rsid w:val="03D845A9"/>
    <w:rsid w:val="04352076"/>
    <w:rsid w:val="04910D1F"/>
    <w:rsid w:val="078410D1"/>
    <w:rsid w:val="08275EA1"/>
    <w:rsid w:val="0A0B3BB9"/>
    <w:rsid w:val="0C274840"/>
    <w:rsid w:val="11E608FC"/>
    <w:rsid w:val="14B37E20"/>
    <w:rsid w:val="14B7657F"/>
    <w:rsid w:val="14CB7B65"/>
    <w:rsid w:val="14E530ED"/>
    <w:rsid w:val="17955DC7"/>
    <w:rsid w:val="17F83137"/>
    <w:rsid w:val="18E5190D"/>
    <w:rsid w:val="18EF17D3"/>
    <w:rsid w:val="196842EC"/>
    <w:rsid w:val="1B663FA4"/>
    <w:rsid w:val="1CAC4C00"/>
    <w:rsid w:val="1E805C34"/>
    <w:rsid w:val="215A6C10"/>
    <w:rsid w:val="21707A9D"/>
    <w:rsid w:val="21FF3314"/>
    <w:rsid w:val="236E69A3"/>
    <w:rsid w:val="24303C58"/>
    <w:rsid w:val="25FB2494"/>
    <w:rsid w:val="27427F2B"/>
    <w:rsid w:val="2C387B4E"/>
    <w:rsid w:val="2FD45DE0"/>
    <w:rsid w:val="310E4E49"/>
    <w:rsid w:val="31770F13"/>
    <w:rsid w:val="31E3055C"/>
    <w:rsid w:val="3276317E"/>
    <w:rsid w:val="36A466B6"/>
    <w:rsid w:val="377C1237"/>
    <w:rsid w:val="37DA41AF"/>
    <w:rsid w:val="380D6333"/>
    <w:rsid w:val="39E3468E"/>
    <w:rsid w:val="3A2160C5"/>
    <w:rsid w:val="3AF410E4"/>
    <w:rsid w:val="3C926E07"/>
    <w:rsid w:val="4013200C"/>
    <w:rsid w:val="4044666A"/>
    <w:rsid w:val="4105404B"/>
    <w:rsid w:val="434A21E9"/>
    <w:rsid w:val="4508410A"/>
    <w:rsid w:val="45B85B30"/>
    <w:rsid w:val="47A65AC3"/>
    <w:rsid w:val="494E2307"/>
    <w:rsid w:val="49804BB7"/>
    <w:rsid w:val="49BB5BEF"/>
    <w:rsid w:val="49EF748D"/>
    <w:rsid w:val="4AA2290B"/>
    <w:rsid w:val="4D8E361A"/>
    <w:rsid w:val="4E9609D8"/>
    <w:rsid w:val="4F021BCA"/>
    <w:rsid w:val="4F334479"/>
    <w:rsid w:val="4F7F146C"/>
    <w:rsid w:val="4F846A83"/>
    <w:rsid w:val="4F8C713A"/>
    <w:rsid w:val="50033E4B"/>
    <w:rsid w:val="504F52E3"/>
    <w:rsid w:val="52E85A38"/>
    <w:rsid w:val="532644A8"/>
    <w:rsid w:val="53590226"/>
    <w:rsid w:val="54C87412"/>
    <w:rsid w:val="56551179"/>
    <w:rsid w:val="56A47A0A"/>
    <w:rsid w:val="57376AD1"/>
    <w:rsid w:val="583F5C3D"/>
    <w:rsid w:val="585E5D0A"/>
    <w:rsid w:val="5B280B1F"/>
    <w:rsid w:val="5BA02E96"/>
    <w:rsid w:val="5EF157B7"/>
    <w:rsid w:val="5F6A4D60"/>
    <w:rsid w:val="5F9F5213"/>
    <w:rsid w:val="634D43A2"/>
    <w:rsid w:val="63D01E3F"/>
    <w:rsid w:val="652E1513"/>
    <w:rsid w:val="657E3510"/>
    <w:rsid w:val="66823EEF"/>
    <w:rsid w:val="69944F9A"/>
    <w:rsid w:val="699D6C67"/>
    <w:rsid w:val="69A2602B"/>
    <w:rsid w:val="6DF66946"/>
    <w:rsid w:val="6EB1286D"/>
    <w:rsid w:val="72874D34"/>
    <w:rsid w:val="73F05BE5"/>
    <w:rsid w:val="74C662F0"/>
    <w:rsid w:val="759E7FEF"/>
    <w:rsid w:val="764F753B"/>
    <w:rsid w:val="77E15F71"/>
    <w:rsid w:val="780F0D30"/>
    <w:rsid w:val="787E2D52"/>
    <w:rsid w:val="79D7587D"/>
    <w:rsid w:val="7B0E3521"/>
    <w:rsid w:val="7C0B180E"/>
    <w:rsid w:val="7D6C2781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character" w:customStyle="1" w:styleId="11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21"/>
    <w:basedOn w:val="9"/>
    <w:autoRedefine/>
    <w:qFormat/>
    <w:uiPriority w:val="0"/>
    <w:rPr>
      <w:rFonts w:hint="default" w:ascii="Arial" w:hAnsi="Arial" w:cs="Arial"/>
      <w:b/>
      <w:bCs/>
      <w:color w:val="666666"/>
      <w:sz w:val="24"/>
      <w:szCs w:val="24"/>
      <w:u w:val="none"/>
    </w:rPr>
  </w:style>
  <w:style w:type="paragraph" w:customStyle="1" w:styleId="13">
    <w:name w:val="Normal Indent1"/>
    <w:next w:val="1"/>
    <w:qFormat/>
    <w:uiPriority w:val="0"/>
    <w:pPr>
      <w:spacing w:afterLines="50" w:line="360" w:lineRule="auto"/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2392</Words>
  <Characters>2616</Characters>
  <Lines>0</Lines>
  <Paragraphs>0</Paragraphs>
  <TotalTime>5</TotalTime>
  <ScaleCrop>false</ScaleCrop>
  <LinksUpToDate>false</LinksUpToDate>
  <CharactersWithSpaces>3542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2024-09-20T00:22:00Z</dcterms:created>
  <dc:creator>~@_@~</dc:creator>
  <cp:lastModifiedBy>微信用户</cp:lastModifiedBy>
  <dcterms:modified xsi:type="dcterms:W3CDTF">2024-12-19T08:12:12Z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5252ABC9923B42DBB5FE241932D79B61_11</vt:lpwstr>
  </property>
</Properties>
</file>