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B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40" w:lineRule="atLeast"/>
        <w:ind w:lef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中国广电山东网络有限公司202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5</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年上半年资产报废与处置鉴定项目</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二轮</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询价文件</w:t>
      </w:r>
    </w:p>
    <w:p w14:paraId="480F6F9D">
      <w:pPr>
        <w:pStyle w:val="5"/>
        <w:adjustRightInd w:val="0"/>
        <w:snapToGrid w:val="0"/>
        <w:spacing w:before="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中国广电山东网络有限公司就202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年上半年资产报废与处置鉴定项目通过询价的方式进行采购，欢迎符合条件的供应商参加。</w:t>
      </w:r>
    </w:p>
    <w:p w14:paraId="46034161">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一、采购人名称：中国广电山东网络有限公司</w:t>
      </w:r>
    </w:p>
    <w:p w14:paraId="65224DAF">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二、采购项目名称：202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年上半年资产报废与处置鉴定项目</w:t>
      </w:r>
    </w:p>
    <w:p w14:paraId="70953978">
      <w:pPr>
        <w:pStyle w:val="5"/>
        <w:adjustRightInd w:val="0"/>
        <w:snapToGrid w:val="0"/>
        <w:spacing w:before="0" w:line="360"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三、项目编号：SDGD202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0908</w:t>
      </w:r>
    </w:p>
    <w:p w14:paraId="21C2835A">
      <w:pPr>
        <w:pStyle w:val="5"/>
        <w:adjustRightInd w:val="0"/>
        <w:snapToGrid w:val="0"/>
        <w:spacing w:before="0"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四、供应商资格要求：</w:t>
      </w:r>
    </w:p>
    <w:p w14:paraId="66FC34C4">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在中国境内注册，具有独立法人资格，能独立承担民事责任；</w:t>
      </w:r>
    </w:p>
    <w:p w14:paraId="032E4CD1">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具有良好的商业信誉和健全的财务会计制度，具有本项目履约能力；</w:t>
      </w:r>
    </w:p>
    <w:p w14:paraId="01971813">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具有履行合同所必需的设备和专业技术能力；</w:t>
      </w:r>
    </w:p>
    <w:p w14:paraId="51FEACC3">
      <w:pPr>
        <w:numPr>
          <w:ilvl w:val="0"/>
          <w:numId w:val="1"/>
        </w:numP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有依法缴纳税收和社会保障资金的良好记录；</w:t>
      </w:r>
    </w:p>
    <w:p w14:paraId="19DD5E8A">
      <w:pPr>
        <w:numPr>
          <w:ilvl w:val="0"/>
          <w:numId w:val="1"/>
        </w:numP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i w:val="0"/>
          <w:iCs w:val="0"/>
          <w:caps w:val="0"/>
          <w:color w:val="000000"/>
          <w:spacing w:val="0"/>
          <w:sz w:val="32"/>
          <w:szCs w:val="32"/>
          <w:highlight w:val="none"/>
          <w:shd w:val="clear" w:fill="FFFFFF"/>
        </w:rPr>
        <w:t>要求公司有三名以上注册会计师资格及其近6个月社保缴纳记录。</w:t>
      </w:r>
    </w:p>
    <w:p w14:paraId="114B6E39">
      <w:pPr>
        <w:numPr>
          <w:ilvl w:val="0"/>
          <w:numId w:val="1"/>
        </w:num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采购公告发布之日前三年内</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月1日至今），在经营活动中没有重大违法记录；</w:t>
      </w:r>
    </w:p>
    <w:p w14:paraId="687FE165">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供应商通过登录"信用中国"网站、"中国政府采购网"网站、"信用山东"网站以上任意一个渠道自</w:t>
      </w:r>
      <w:r>
        <w:rPr>
          <w:rFonts w:hint="eastAsia" w:ascii="仿宋_GB2312" w:hAnsi="仿宋_GB2312" w:eastAsia="仿宋_GB2312" w:cs="仿宋_GB2312"/>
          <w:color w:val="000000"/>
          <w:sz w:val="32"/>
          <w:szCs w:val="32"/>
          <w:highlight w:val="none"/>
        </w:rPr>
        <w:t>行查询供应商信用记录，对列入失信被执行人、重大税收违法案件当事人名单、政府采购严重违法失信行为记录名单的单位拒绝其参与采购活动；</w:t>
      </w:r>
    </w:p>
    <w:p w14:paraId="7F759D7A">
      <w:pPr>
        <w:numPr>
          <w:ilvl w:val="0"/>
          <w:numId w:val="1"/>
        </w:numPr>
        <w:shd w:val="clear"/>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本项目不接受联合体投标。</w:t>
      </w:r>
    </w:p>
    <w:p w14:paraId="515DE578">
      <w:pPr>
        <w:pStyle w:val="5"/>
        <w:numPr>
          <w:ilvl w:val="0"/>
          <w:numId w:val="2"/>
        </w:numPr>
        <w:adjustRightInd w:val="0"/>
        <w:snapToGrid w:val="0"/>
        <w:spacing w:before="0" w:line="360" w:lineRule="auto"/>
        <w:rPr>
          <w:rFonts w:hint="eastAsia" w:ascii="黑体" w:hAnsi="黑体" w:eastAsia="黑体" w:cs="黑体"/>
          <w:sz w:val="32"/>
          <w:szCs w:val="32"/>
          <w:lang w:val="en-US" w:eastAsia="zh-CN"/>
        </w:rPr>
      </w:pPr>
      <w:r>
        <w:rPr>
          <w:rFonts w:hint="eastAsia" w:ascii="黑体" w:hAnsi="黑体" w:eastAsia="黑体" w:cs="黑体"/>
          <w:sz w:val="32"/>
          <w:szCs w:val="32"/>
        </w:rPr>
        <w:t>项</w:t>
      </w:r>
      <w:r>
        <w:rPr>
          <w:rFonts w:hint="eastAsia" w:ascii="黑体" w:hAnsi="黑体" w:eastAsia="黑体" w:cs="黑体"/>
          <w:sz w:val="32"/>
          <w:szCs w:val="32"/>
          <w:lang w:val="en-US" w:eastAsia="zh-CN"/>
        </w:rPr>
        <w:t>目需求：</w:t>
      </w:r>
    </w:p>
    <w:p w14:paraId="567AB1BD">
      <w:pPr>
        <w:numPr>
          <w:ilvl w:val="0"/>
          <w:numId w:val="3"/>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highlight w:val="none"/>
          <w:lang w:val="en-US" w:eastAsia="zh-CN"/>
        </w:rPr>
        <w:t>鉴定内容：</w:t>
      </w:r>
      <w:r>
        <w:rPr>
          <w:rFonts w:hint="eastAsia" w:ascii="仿宋_GB2312" w:hAnsi="仿宋" w:eastAsia="仿宋_GB2312"/>
          <w:sz w:val="32"/>
          <w:szCs w:val="32"/>
        </w:rPr>
        <w:t>济南等</w:t>
      </w:r>
      <w:r>
        <w:rPr>
          <w:rFonts w:hint="eastAsia" w:ascii="仿宋_GB2312" w:hAnsi="仿宋" w:eastAsia="仿宋_GB2312"/>
          <w:sz w:val="32"/>
          <w:szCs w:val="32"/>
          <w:lang w:val="en-US" w:eastAsia="zh-CN"/>
        </w:rPr>
        <w:t>16</w:t>
      </w:r>
      <w:r>
        <w:rPr>
          <w:rFonts w:hint="eastAsia" w:ascii="仿宋_GB2312" w:hAnsi="仿宋" w:eastAsia="仿宋_GB2312"/>
          <w:sz w:val="32"/>
          <w:szCs w:val="32"/>
        </w:rPr>
        <w:t>家分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子</w:t>
      </w:r>
      <w:r>
        <w:rPr>
          <w:rFonts w:hint="eastAsia" w:ascii="仿宋_GB2312" w:hAnsi="仿宋" w:eastAsia="仿宋_GB2312"/>
          <w:sz w:val="32"/>
          <w:szCs w:val="32"/>
          <w:lang w:eastAsia="zh-CN"/>
        </w:rPr>
        <w:t>）</w:t>
      </w:r>
      <w:r>
        <w:rPr>
          <w:rFonts w:hint="eastAsia" w:ascii="仿宋_GB2312" w:hAnsi="仿宋" w:eastAsia="仿宋_GB2312"/>
          <w:sz w:val="32"/>
          <w:szCs w:val="32"/>
        </w:rPr>
        <w:t>公司</w:t>
      </w:r>
      <w:r>
        <w:rPr>
          <w:rFonts w:hint="eastAsia" w:ascii="仿宋_GB2312" w:hAnsi="仿宋" w:eastAsia="仿宋_GB2312"/>
          <w:sz w:val="32"/>
          <w:szCs w:val="32"/>
          <w:lang w:val="en-US" w:eastAsia="zh-CN"/>
        </w:rPr>
        <w:t>与省公司</w:t>
      </w:r>
      <w:r>
        <w:rPr>
          <w:rFonts w:hint="eastAsia" w:ascii="仿宋_GB2312" w:hAnsi="仿宋" w:eastAsia="仿宋_GB2312"/>
          <w:sz w:val="32"/>
          <w:szCs w:val="32"/>
        </w:rPr>
        <w:t>报送了申请报废与处置资产的相关材料，需</w:t>
      </w:r>
      <w:r>
        <w:rPr>
          <w:rFonts w:hint="eastAsia" w:ascii="仿宋_GB2312" w:hAnsi="仿宋" w:eastAsia="仿宋_GB2312"/>
          <w:sz w:val="32"/>
          <w:szCs w:val="32"/>
          <w:lang w:val="en-US" w:eastAsia="zh-CN"/>
        </w:rPr>
        <w:t>报废与处置</w:t>
      </w:r>
      <w:r>
        <w:rPr>
          <w:rFonts w:hint="eastAsia" w:ascii="仿宋_GB2312" w:hAnsi="仿宋" w:eastAsia="仿宋_GB2312"/>
          <w:sz w:val="32"/>
          <w:szCs w:val="32"/>
        </w:rPr>
        <w:t>的资产</w:t>
      </w:r>
      <w:r>
        <w:rPr>
          <w:rFonts w:hint="eastAsia" w:ascii="仿宋_GB2312" w:hAnsi="仿宋" w:eastAsia="仿宋_GB2312"/>
          <w:sz w:val="32"/>
          <w:szCs w:val="32"/>
          <w:lang w:val="en-US" w:eastAsia="zh-CN"/>
        </w:rPr>
        <w:t>多数</w:t>
      </w:r>
      <w:r>
        <w:rPr>
          <w:rFonts w:hint="eastAsia" w:ascii="仿宋_GB2312" w:hAnsi="仿宋" w:eastAsia="仿宋_GB2312"/>
          <w:sz w:val="32"/>
          <w:szCs w:val="32"/>
        </w:rPr>
        <w:t>已达到报废年限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账面多数仅剩资产残值。报废或处置资产主要包含因</w:t>
      </w:r>
      <w:r>
        <w:rPr>
          <w:rFonts w:hint="eastAsia" w:ascii="仿宋_GB2312" w:hAnsi="仿宋" w:eastAsia="仿宋_GB2312"/>
          <w:sz w:val="32"/>
          <w:szCs w:val="32"/>
        </w:rPr>
        <w:t>老化或受到损坏、</w:t>
      </w:r>
      <w:r>
        <w:rPr>
          <w:rFonts w:hint="eastAsia" w:ascii="仿宋_GB2312" w:hAnsi="仿宋" w:eastAsia="仿宋_GB2312"/>
          <w:sz w:val="32"/>
          <w:szCs w:val="32"/>
          <w:lang w:val="en-US" w:eastAsia="zh-CN"/>
        </w:rPr>
        <w:t>技术更新淘汰、</w:t>
      </w:r>
      <w:r>
        <w:rPr>
          <w:rFonts w:hint="eastAsia" w:ascii="仿宋_GB2312" w:hAnsi="仿宋" w:eastAsia="仿宋_GB2312"/>
          <w:sz w:val="32"/>
          <w:szCs w:val="32"/>
        </w:rPr>
        <w:t>无法继续使用的电子设备</w:t>
      </w:r>
      <w:r>
        <w:rPr>
          <w:rFonts w:hint="eastAsia" w:ascii="仿宋_GB2312" w:hAnsi="仿宋" w:eastAsia="仿宋_GB2312"/>
          <w:sz w:val="32"/>
          <w:szCs w:val="32"/>
          <w:lang w:eastAsia="zh-CN"/>
        </w:rPr>
        <w:t>、</w:t>
      </w:r>
      <w:r>
        <w:rPr>
          <w:rFonts w:hint="eastAsia" w:ascii="仿宋_GB2312" w:hAnsi="仿宋" w:eastAsia="仿宋_GB2312"/>
          <w:sz w:val="32"/>
          <w:szCs w:val="32"/>
        </w:rPr>
        <w:t>机顶盒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ONU等</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维修成本高、无法上路的</w:t>
      </w:r>
      <w:r>
        <w:rPr>
          <w:rFonts w:hint="eastAsia" w:ascii="仿宋_GB2312" w:hAnsi="仿宋" w:eastAsia="仿宋_GB2312"/>
          <w:sz w:val="32"/>
          <w:szCs w:val="32"/>
        </w:rPr>
        <w:t>车辆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损坏且无维修价值的</w:t>
      </w:r>
      <w:r>
        <w:rPr>
          <w:rFonts w:hint="eastAsia" w:ascii="仿宋_GB2312" w:hAnsi="仿宋" w:eastAsia="仿宋_GB2312"/>
          <w:sz w:val="32"/>
          <w:szCs w:val="32"/>
        </w:rPr>
        <w:t>办公家具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老化、技术更新淘汰、损坏物料等</w:t>
      </w:r>
      <w:r>
        <w:rPr>
          <w:rFonts w:hint="eastAsia" w:ascii="仿宋_GB2312" w:hAnsi="仿宋" w:eastAsia="仿宋_GB2312"/>
          <w:sz w:val="32"/>
          <w:szCs w:val="32"/>
        </w:rPr>
        <w:t>。这批拟报废与处置的</w:t>
      </w:r>
      <w:r>
        <w:rPr>
          <w:rFonts w:hint="eastAsia" w:ascii="仿宋_GB2312" w:hAnsi="仿宋" w:eastAsia="仿宋_GB2312"/>
          <w:sz w:val="32"/>
          <w:szCs w:val="32"/>
          <w:lang w:val="en-US" w:eastAsia="zh-CN"/>
        </w:rPr>
        <w:t>固定</w:t>
      </w:r>
      <w:r>
        <w:rPr>
          <w:rFonts w:hint="eastAsia" w:ascii="仿宋_GB2312" w:hAnsi="仿宋" w:eastAsia="仿宋_GB2312"/>
          <w:sz w:val="32"/>
          <w:szCs w:val="32"/>
        </w:rPr>
        <w:t>资产原值</w:t>
      </w:r>
      <w:r>
        <w:rPr>
          <w:rFonts w:hint="eastAsia" w:ascii="仿宋_GB2312" w:hAnsi="仿宋" w:eastAsia="仿宋_GB2312"/>
          <w:sz w:val="32"/>
          <w:szCs w:val="32"/>
          <w:lang w:val="en-US" w:eastAsia="zh-CN"/>
        </w:rPr>
        <w:t>14,582.99万元，固定资产净值为 287.11万元，存货原值32.21万元，存货净值32.21万元，两者合计原值14,615.17万元，资产净值319.32万元。</w:t>
      </w:r>
    </w:p>
    <w:p w14:paraId="7D47EB32">
      <w:pPr>
        <w:spacing w:line="320" w:lineRule="atLeast"/>
        <w:ind w:firstLine="640" w:firstLineChars="200"/>
        <w:jc w:val="left"/>
        <w:rPr>
          <w:rFonts w:hint="eastAsia" w:ascii="仿宋" w:hAnsi="仿宋"/>
          <w:sz w:val="28"/>
          <w:szCs w:val="24"/>
        </w:rPr>
      </w:pPr>
      <w:r>
        <w:rPr>
          <w:rFonts w:hint="eastAsia" w:ascii="仿宋_GB2312" w:hAnsi="仿宋" w:eastAsia="仿宋_GB2312"/>
          <w:b w:val="0"/>
          <w:bCs w:val="0"/>
          <w:sz w:val="32"/>
          <w:szCs w:val="32"/>
        </w:rPr>
        <w:t>各公司报废</w:t>
      </w:r>
      <w:r>
        <w:rPr>
          <w:rFonts w:hint="eastAsia" w:ascii="仿宋_GB2312" w:hAnsi="仿宋" w:eastAsia="仿宋_GB2312"/>
          <w:b w:val="0"/>
          <w:bCs w:val="0"/>
          <w:sz w:val="32"/>
          <w:szCs w:val="32"/>
          <w:lang w:val="en-US" w:eastAsia="zh-CN"/>
        </w:rPr>
        <w:t>或处置</w:t>
      </w:r>
      <w:r>
        <w:rPr>
          <w:rFonts w:hint="eastAsia" w:ascii="仿宋_GB2312" w:hAnsi="仿宋" w:eastAsia="仿宋_GB2312"/>
          <w:b w:val="0"/>
          <w:bCs w:val="0"/>
          <w:sz w:val="32"/>
          <w:szCs w:val="32"/>
        </w:rPr>
        <w:t>资产明细如下：</w:t>
      </w:r>
      <w:r>
        <w:rPr>
          <w:rFonts w:hint="eastAsia" w:ascii="仿宋_GB2312" w:hAnsi="仿宋" w:eastAsia="仿宋_GB2312"/>
          <w:sz w:val="32"/>
          <w:szCs w:val="32"/>
        </w:rPr>
        <w:t xml:space="preserve">       </w:t>
      </w:r>
      <w:bookmarkStart w:id="0" w:name="_Hlk44404279"/>
      <w:r>
        <w:rPr>
          <w:rFonts w:hint="eastAsia" w:ascii="仿宋" w:hAnsi="仿宋"/>
          <w:sz w:val="28"/>
          <w:szCs w:val="24"/>
        </w:rPr>
        <w:t>单位：万元</w:t>
      </w:r>
    </w:p>
    <w:tbl>
      <w:tblPr>
        <w:tblStyle w:val="10"/>
        <w:tblW w:w="57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250"/>
        <w:gridCol w:w="887"/>
        <w:gridCol w:w="1238"/>
        <w:gridCol w:w="893"/>
        <w:gridCol w:w="955"/>
        <w:gridCol w:w="779"/>
        <w:gridCol w:w="3000"/>
      </w:tblGrid>
      <w:tr w14:paraId="5660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blHeader/>
          <w:jc w:val="center"/>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4BD6">
            <w:pPr>
              <w:tabs>
                <w:tab w:val="left" w:pos="1480"/>
              </w:tabs>
              <w:bidi w:val="0"/>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w:t>
            </w:r>
            <w:r>
              <w:rPr>
                <w:rFonts w:hint="eastAsia" w:cstheme="minorBidi"/>
                <w:kern w:val="2"/>
                <w:sz w:val="30"/>
                <w:szCs w:val="22"/>
                <w:lang w:val="en-US" w:eastAsia="zh-CN" w:bidi="ar-SA"/>
              </w:rPr>
              <w:tab/>
            </w:r>
            <w:r>
              <w:rPr>
                <w:rFonts w:hint="eastAsia" w:cstheme="minorBidi"/>
                <w:kern w:val="2"/>
                <w:sz w:val="30"/>
                <w:szCs w:val="22"/>
                <w:lang w:val="en-US" w:eastAsia="zh-CN" w:bidi="ar-SA"/>
              </w:rPr>
              <w:tab/>
            </w:r>
            <w:r>
              <w:rPr>
                <w:rFonts w:hint="eastAsia" w:ascii="宋体" w:hAnsi="宋体" w:eastAsia="宋体" w:cs="宋体"/>
                <w:b/>
                <w:bCs/>
                <w:i w:val="0"/>
                <w:iCs w:val="0"/>
                <w:color w:val="000000"/>
                <w:kern w:val="0"/>
                <w:sz w:val="22"/>
                <w:szCs w:val="22"/>
                <w:u w:val="none"/>
                <w:lang w:val="en-US" w:eastAsia="zh-CN" w:bidi="ar"/>
              </w:rPr>
              <w:t>公司名称</w:t>
            </w:r>
          </w:p>
        </w:tc>
        <w:tc>
          <w:tcPr>
            <w:tcW w:w="1250" w:type="dxa"/>
            <w:vMerge w:val="restart"/>
            <w:tcBorders>
              <w:top w:val="single" w:color="000000" w:sz="4" w:space="0"/>
              <w:left w:val="single" w:color="000000" w:sz="4" w:space="0"/>
              <w:right w:val="single" w:color="000000" w:sz="4" w:space="0"/>
            </w:tcBorders>
            <w:shd w:val="clear" w:color="auto" w:fill="auto"/>
            <w:noWrap/>
            <w:vAlign w:val="center"/>
          </w:tcPr>
          <w:p w14:paraId="0E5594B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资产原值</w:t>
            </w:r>
          </w:p>
        </w:tc>
        <w:tc>
          <w:tcPr>
            <w:tcW w:w="887" w:type="dxa"/>
            <w:vMerge w:val="restart"/>
            <w:tcBorders>
              <w:top w:val="single" w:color="000000" w:sz="4" w:space="0"/>
              <w:left w:val="single" w:color="000000" w:sz="4" w:space="0"/>
              <w:right w:val="single" w:color="000000" w:sz="4" w:space="0"/>
            </w:tcBorders>
            <w:shd w:val="clear" w:color="auto" w:fill="auto"/>
            <w:noWrap/>
            <w:vAlign w:val="center"/>
          </w:tcPr>
          <w:p w14:paraId="483A1C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w:t>
            </w:r>
          </w:p>
          <w:p w14:paraId="149DD75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净值</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其中：固定资产</w:t>
            </w:r>
          </w:p>
        </w:tc>
        <w:tc>
          <w:tcPr>
            <w:tcW w:w="173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9E952E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其中：存货</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报废或处置资产类别</w:t>
            </w:r>
          </w:p>
        </w:tc>
      </w:tr>
      <w:tr w14:paraId="6BF3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blHeader/>
          <w:jc w:val="center"/>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D7F3">
            <w:pPr>
              <w:jc w:val="center"/>
              <w:rPr>
                <w:rFonts w:hint="eastAsia" w:ascii="宋体" w:hAnsi="宋体" w:eastAsia="宋体" w:cs="宋体"/>
                <w:i w:val="0"/>
                <w:iCs w:val="0"/>
                <w:color w:val="000000"/>
                <w:sz w:val="22"/>
                <w:szCs w:val="22"/>
                <w:u w:val="none"/>
              </w:rPr>
            </w:pPr>
          </w:p>
        </w:tc>
        <w:tc>
          <w:tcPr>
            <w:tcW w:w="1250" w:type="dxa"/>
            <w:vMerge w:val="continue"/>
            <w:tcBorders>
              <w:left w:val="single" w:color="000000" w:sz="4" w:space="0"/>
              <w:bottom w:val="single" w:color="000000" w:sz="4" w:space="0"/>
              <w:right w:val="single" w:color="000000" w:sz="4" w:space="0"/>
            </w:tcBorders>
            <w:shd w:val="clear" w:color="auto" w:fill="auto"/>
            <w:noWrap/>
            <w:vAlign w:val="center"/>
          </w:tcPr>
          <w:p w14:paraId="510F73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87" w:type="dxa"/>
            <w:vMerge w:val="continue"/>
            <w:tcBorders>
              <w:left w:val="single" w:color="000000" w:sz="4" w:space="0"/>
              <w:bottom w:val="single" w:color="000000" w:sz="4" w:space="0"/>
              <w:right w:val="single" w:color="000000" w:sz="4" w:space="0"/>
            </w:tcBorders>
            <w:shd w:val="clear" w:color="auto" w:fill="auto"/>
            <w:noWrap/>
            <w:vAlign w:val="center"/>
          </w:tcPr>
          <w:p w14:paraId="10565D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C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资产原值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EA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资产</w:t>
            </w:r>
          </w:p>
          <w:p w14:paraId="0B91F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净值</w:t>
            </w:r>
          </w:p>
        </w:tc>
        <w:tc>
          <w:tcPr>
            <w:tcW w:w="95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00BEE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存货</w:t>
            </w:r>
          </w:p>
          <w:p w14:paraId="1909CBA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原值</w:t>
            </w:r>
          </w:p>
        </w:tc>
        <w:tc>
          <w:tcPr>
            <w:tcW w:w="779"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B68C761">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1"/>
                <w:szCs w:val="21"/>
                <w:u w:val="none"/>
                <w:lang w:val="en-US" w:eastAsia="zh-CN"/>
              </w:rPr>
              <w:t>存货净值</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9521">
            <w:pPr>
              <w:jc w:val="center"/>
              <w:rPr>
                <w:rFonts w:hint="eastAsia" w:ascii="宋体" w:hAnsi="宋体" w:eastAsia="宋体" w:cs="宋体"/>
                <w:i w:val="0"/>
                <w:iCs w:val="0"/>
                <w:color w:val="000000"/>
                <w:sz w:val="22"/>
                <w:szCs w:val="22"/>
                <w:u w:val="none"/>
              </w:rPr>
            </w:pPr>
          </w:p>
        </w:tc>
      </w:tr>
      <w:tr w14:paraId="75C9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103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济南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C54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669.29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692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32.53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DEF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665.66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F8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28.87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C6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E00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BDE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车辆、E0C、0NU、UPS电池、电子设备等</w:t>
            </w:r>
          </w:p>
        </w:tc>
      </w:tr>
      <w:tr w14:paraId="68FE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97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嘉和</w:t>
            </w:r>
          </w:p>
          <w:p w14:paraId="5CA4DF3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数字</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A9F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FCD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BB9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05E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8D0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0C0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B2D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多经产品</w:t>
            </w:r>
          </w:p>
        </w:tc>
      </w:tr>
      <w:tr w14:paraId="5E0C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DAF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淄博</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1F7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899.56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78A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43.96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55F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893.04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7AE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37.44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E99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A4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AED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车辆、电子设备、ONU、EOC等</w:t>
            </w:r>
          </w:p>
        </w:tc>
      </w:tr>
      <w:tr w14:paraId="01CC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398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烟台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2C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268.99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63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13.49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D5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268.99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B358">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13.49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9A3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581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FFBA">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w:t>
            </w:r>
          </w:p>
        </w:tc>
      </w:tr>
      <w:tr w14:paraId="2821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E9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潍坊</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3F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259.57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DA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10.73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B49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259.57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7FD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10.73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CD0">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1FF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DA5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w:t>
            </w:r>
          </w:p>
        </w:tc>
      </w:tr>
      <w:tr w14:paraId="3FE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A55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泰安</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5EA">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460.55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DB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BB3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460.55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139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15.57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C45">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B5F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250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机顶盒、0NU、EOC、车辆、电子设备等</w:t>
            </w:r>
          </w:p>
        </w:tc>
      </w:tr>
      <w:tr w14:paraId="4C6C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25C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威海</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598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174.83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1C0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9.57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A19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172.21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726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6.94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E32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8A57">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9CE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车辆，电子设备、机顶盒、EOC设备等</w:t>
            </w:r>
          </w:p>
        </w:tc>
      </w:tr>
      <w:tr w14:paraId="4195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B39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德州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444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216.98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4ADF">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21.17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9C2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210.64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2B2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14.83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2A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5D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8C2">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车辆、UPS 电池、电子设备、办公家具等</w:t>
            </w:r>
          </w:p>
        </w:tc>
      </w:tr>
      <w:tr w14:paraId="6C14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51C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德州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0D93">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180.71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07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15.61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D8B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180.71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653">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15.61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90D6">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2D1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A10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w:t>
            </w:r>
          </w:p>
        </w:tc>
      </w:tr>
      <w:tr w14:paraId="1A2D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96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聊城</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E47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523.53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DAB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25.27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D49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523.53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D48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25.27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37F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249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937">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EOC、ONU、车辆、电子设备等</w:t>
            </w:r>
          </w:p>
        </w:tc>
      </w:tr>
      <w:tr w14:paraId="6603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7B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菏泽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2DF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282.85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06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22.06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623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272.42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28C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11.63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D3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10.43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3BCE">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10.43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E864">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车辆、电子设备、办公家具等</w:t>
            </w:r>
          </w:p>
        </w:tc>
      </w:tr>
      <w:tr w14:paraId="5FAF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18A">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东营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8CA6">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24.10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51A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99D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24.10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3E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690E">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F8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BE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车辆、电子设备等</w:t>
            </w:r>
          </w:p>
        </w:tc>
      </w:tr>
      <w:tr w14:paraId="7EC2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A7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滨州</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5C0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93.21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60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B7F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93.21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1CF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BC4">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386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F87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电子设备、办公家具等</w:t>
            </w:r>
          </w:p>
        </w:tc>
      </w:tr>
      <w:tr w14:paraId="3572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0FF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临沂</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503">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9,223.94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118">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15.21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B93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9,222.58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2CE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13.86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2F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ED2B">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2A8">
            <w:pPr>
              <w:keepNext w:val="0"/>
              <w:keepLines w:val="0"/>
              <w:widowControl/>
              <w:suppressLineNumbers w:val="0"/>
              <w:jc w:val="center"/>
              <w:textAlignment w:val="bottom"/>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电子设备、车辆、机顶盒、EOC等</w:t>
            </w:r>
          </w:p>
        </w:tc>
      </w:tr>
      <w:tr w14:paraId="57F1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9A06">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青岛</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914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368.44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763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B79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368.44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83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A2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983">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24B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电子设备、机顶盒、车辆</w:t>
            </w:r>
          </w:p>
        </w:tc>
      </w:tr>
      <w:tr w14:paraId="3B1E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C71">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济宁</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258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17.76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003C">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0.89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5064">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17.76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126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0.89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AFAC">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CEF">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41A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电子设备、车辆、办公家具等</w:t>
            </w:r>
          </w:p>
        </w:tc>
      </w:tr>
      <w:tr w14:paraId="4E2A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DE29">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日照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46E">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12.06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3647">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62B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12.06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BC57">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2FAA">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0EF8">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1EF0">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tc>
      </w:tr>
      <w:tr w14:paraId="54AD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86D">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菏泽</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8EB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143.92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0341">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14.18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58AB">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143.92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471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14.18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E3D">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A059">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D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tc>
      </w:tr>
      <w:tr w14:paraId="7C07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E95">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省公司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4F12">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793.60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C55">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21"/>
                <w:szCs w:val="21"/>
                <w:u w:val="none"/>
                <w:lang w:val="en-US" w:eastAsia="zh-CN" w:bidi="ar"/>
              </w:rPr>
              <w:t>59.64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7D5E">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793.60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CB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1"/>
                <w:szCs w:val="21"/>
                <w:u w:val="none"/>
                <w:lang w:val="en-US" w:eastAsia="zh-CN" w:bidi="ar"/>
              </w:rPr>
              <w:t>59.64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0992">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2F1">
            <w:pPr>
              <w:keepNext w:val="0"/>
              <w:keepLines w:val="0"/>
              <w:widowControl/>
              <w:suppressLineNumbers w:val="0"/>
              <w:jc w:val="center"/>
              <w:textAlignment w:val="bottom"/>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090C">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办公家具、电子设备</w:t>
            </w:r>
          </w:p>
        </w:tc>
      </w:tr>
      <w:tr w14:paraId="5BD6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4BB">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011">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14,615.17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77E">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319.32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6BD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14,582.99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8D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287.11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3F4">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32.21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338B">
            <w:pPr>
              <w:keepNext w:val="0"/>
              <w:keepLines w:val="0"/>
              <w:widowControl/>
              <w:suppressLineNumbers w:val="0"/>
              <w:jc w:val="center"/>
              <w:textAlignment w:val="bottom"/>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14E">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bookmarkEnd w:id="0"/>
    </w:tbl>
    <w:p w14:paraId="1265C69E">
      <w:pPr>
        <w:spacing w:line="440" w:lineRule="exact"/>
        <w:rPr>
          <w:rFonts w:hint="default" w:ascii="宋体" w:hAnsi="宋体" w:eastAsiaTheme="minorEastAsia"/>
          <w:b/>
          <w:color w:val="000000"/>
          <w:sz w:val="24"/>
          <w:highlight w:val="none"/>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二</w:t>
      </w:r>
      <w:r>
        <w:rPr>
          <w:rFonts w:hint="eastAsia" w:ascii="宋体" w:hAnsi="宋体"/>
          <w:b/>
          <w:color w:val="000000"/>
          <w:sz w:val="24"/>
          <w:highlight w:val="none"/>
          <w:lang w:eastAsia="zh-CN"/>
        </w:rPr>
        <w:t>）</w:t>
      </w:r>
      <w:r>
        <w:rPr>
          <w:rFonts w:hint="eastAsia" w:ascii="宋体" w:hAnsi="宋体"/>
          <w:b/>
          <w:color w:val="000000"/>
          <w:sz w:val="24"/>
          <w:highlight w:val="none"/>
        </w:rPr>
        <w:t>评估时间地点：采购方指定时间、地点</w:t>
      </w:r>
      <w:r>
        <w:rPr>
          <w:rFonts w:hint="eastAsia" w:ascii="宋体" w:hAnsi="宋体"/>
          <w:b/>
          <w:color w:val="000000"/>
          <w:sz w:val="24"/>
          <w:highlight w:val="none"/>
          <w:lang w:val="en-US" w:eastAsia="zh-CN"/>
        </w:rPr>
        <w:t>(全省各地市)</w:t>
      </w:r>
      <w:r>
        <w:rPr>
          <w:rFonts w:hint="eastAsia" w:ascii="宋体" w:hAnsi="宋体"/>
          <w:b/>
          <w:color w:val="000000"/>
          <w:sz w:val="24"/>
          <w:highlight w:val="none"/>
        </w:rPr>
        <w:t>。</w:t>
      </w:r>
      <w:r>
        <w:rPr>
          <w:rFonts w:hint="eastAsia" w:ascii="宋体" w:hAnsi="宋体"/>
          <w:b/>
          <w:color w:val="000000"/>
          <w:sz w:val="24"/>
          <w:highlight w:val="none"/>
          <w:lang w:val="en-US" w:eastAsia="zh-CN"/>
        </w:rPr>
        <w:t>实施周期：一个月</w:t>
      </w:r>
    </w:p>
    <w:p w14:paraId="36E34179">
      <w:pPr>
        <w:keepNext w:val="0"/>
        <w:keepLines w:val="0"/>
        <w:pageBreakBefore w:val="0"/>
        <w:widowControl w:val="0"/>
        <w:numPr>
          <w:ilvl w:val="0"/>
          <w:numId w:val="0"/>
        </w:numPr>
        <w:shd w:val="clear"/>
        <w:kinsoku/>
        <w:wordWrap/>
        <w:overflowPunct/>
        <w:topLinePunct w:val="0"/>
        <w:autoSpaceDE/>
        <w:autoSpaceDN/>
        <w:bidi w:val="0"/>
        <w:spacing w:line="24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、报价文件内容要求（未提供的文件自拟）（以下文件均需加盖公章）：</w:t>
      </w:r>
    </w:p>
    <w:p w14:paraId="3CADC7D1">
      <w:pPr>
        <w:pStyle w:val="6"/>
        <w:tabs>
          <w:tab w:val="left" w:pos="0"/>
        </w:tabs>
        <w:spacing w:after="0" w:line="360" w:lineRule="auto"/>
        <w:ind w:left="0" w:left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1.法人承诺书、法人代表资格证明书、身份证；</w:t>
      </w:r>
    </w:p>
    <w:p w14:paraId="49A5FAD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2.若授权代表参加须提供法人授权委托书、身份证；</w:t>
      </w:r>
    </w:p>
    <w:p w14:paraId="01FFB80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3.营业执照、资质证书等资料；</w:t>
      </w:r>
    </w:p>
    <w:p w14:paraId="7976EE4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.报价一览表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报价明细表</w:t>
      </w:r>
      <w:r>
        <w:rPr>
          <w:rFonts w:hint="eastAsia" w:ascii="仿宋_GB2312" w:hAnsi="仿宋_GB2312" w:eastAsia="仿宋_GB2312" w:cs="仿宋_GB2312"/>
          <w:sz w:val="32"/>
          <w:szCs w:val="32"/>
          <w:lang w:eastAsia="zh-CN"/>
        </w:rPr>
        <w:t>；</w:t>
      </w:r>
    </w:p>
    <w:p w14:paraId="7F7EB056">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5.社保证明；</w:t>
      </w:r>
    </w:p>
    <w:p w14:paraId="2A6485BA">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.其他商务材料</w:t>
      </w:r>
      <w:r>
        <w:rPr>
          <w:rFonts w:hint="eastAsia" w:ascii="仿宋_GB2312" w:hAnsi="仿宋_GB2312" w:eastAsia="仿宋_GB2312" w:cs="仿宋_GB2312"/>
          <w:sz w:val="32"/>
          <w:szCs w:val="32"/>
          <w:lang w:eastAsia="zh-CN"/>
        </w:rPr>
        <w:t>。</w:t>
      </w:r>
    </w:p>
    <w:p w14:paraId="061F76BB">
      <w:pPr>
        <w:spacing w:line="360" w:lineRule="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、供应商报价文件送达时间及地点</w:t>
      </w:r>
    </w:p>
    <w:p w14:paraId="62A36453">
      <w:pPr>
        <w:pStyle w:val="6"/>
        <w:tabs>
          <w:tab w:val="left" w:pos="0"/>
        </w:tabs>
        <w:spacing w:after="0" w:line="460" w:lineRule="exact"/>
        <w:ind w:left="0" w:leftChars="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:00开标。（北京时间）</w:t>
      </w:r>
    </w:p>
    <w:p w14:paraId="73DFBC79">
      <w:pPr>
        <w:pStyle w:val="6"/>
        <w:tabs>
          <w:tab w:val="left" w:pos="0"/>
        </w:tabs>
        <w:spacing w:after="0" w:line="460" w:lineRule="exact"/>
        <w:ind w:left="0" w:leftChars="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报价形式：202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定点将</w:t>
      </w:r>
      <w:r>
        <w:rPr>
          <w:rFonts w:hint="eastAsia" w:ascii="仿宋_GB2312" w:hAnsi="仿宋_GB2312" w:eastAsia="仿宋_GB2312" w:cs="仿宋_GB2312"/>
          <w:sz w:val="32"/>
          <w:szCs w:val="32"/>
        </w:rPr>
        <w:t>报价文件原件扫描件发送至邮箱</w:t>
      </w:r>
      <w:r>
        <w:rPr>
          <w:rFonts w:hint="eastAsia" w:ascii="仿宋_GB2312" w:hAnsi="仿宋_GB2312" w:eastAsia="仿宋_GB2312" w:cs="仿宋_GB2312"/>
          <w:sz w:val="32"/>
          <w:szCs w:val="32"/>
          <w:lang w:val="en-US" w:eastAsia="zh-CN"/>
        </w:rPr>
        <w:t>996679284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逾期视为放弃投标。</w:t>
      </w:r>
    </w:p>
    <w:p w14:paraId="76C1D5BC">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
    <w:p w14:paraId="5CBF56C4">
      <w:pPr>
        <w:snapToGrid w:val="0"/>
        <w:spacing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采购人：中国广电山东网络有限公司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地址：济南市历下区洪山路1号</w:t>
      </w:r>
    </w:p>
    <w:p w14:paraId="5AF2E241">
      <w:pPr>
        <w:snapToGrid w:val="0"/>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许女士</w:t>
      </w:r>
      <w:r>
        <w:rPr>
          <w:rFonts w:hint="eastAsia" w:ascii="仿宋_GB2312" w:hAnsi="仿宋_GB2312" w:eastAsia="仿宋_GB2312" w:cs="仿宋_GB2312"/>
          <w:sz w:val="32"/>
          <w:szCs w:val="32"/>
        </w:rPr>
        <w:t xml:space="preserve">     联系电话：0531</w:t>
      </w:r>
      <w:r>
        <w:rPr>
          <w:rFonts w:hint="eastAsia" w:ascii="仿宋_GB2312" w:hAnsi="仿宋_GB2312" w:eastAsia="仿宋_GB2312" w:cs="仿宋_GB2312"/>
          <w:sz w:val="32"/>
          <w:szCs w:val="32"/>
          <w:lang w:val="en-US" w:eastAsia="zh-CN"/>
        </w:rPr>
        <w:t>-56060589</w:t>
      </w:r>
    </w:p>
    <w:p w14:paraId="6421902F">
      <w:pPr>
        <w:spacing w:line="500" w:lineRule="exac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、关于报价</w:t>
      </w:r>
    </w:p>
    <w:p w14:paraId="5DF2120B">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1．本次采购报价为</w:t>
      </w:r>
      <w:r>
        <w:rPr>
          <w:rFonts w:hint="eastAsia" w:ascii="仿宋_GB2312" w:hAnsi="仿宋_GB2312" w:eastAsia="仿宋_GB2312" w:cs="仿宋_GB2312"/>
          <w:b/>
          <w:bCs/>
          <w:spacing w:val="0"/>
          <w:kern w:val="2"/>
          <w:sz w:val="32"/>
          <w:szCs w:val="32"/>
        </w:rPr>
        <w:t>一次不得更改报价，供应商只有一次报价的机会</w:t>
      </w:r>
      <w:r>
        <w:rPr>
          <w:rFonts w:hint="eastAsia" w:ascii="仿宋_GB2312" w:hAnsi="仿宋_GB2312" w:eastAsia="仿宋_GB2312" w:cs="仿宋_GB2312"/>
          <w:spacing w:val="0"/>
          <w:kern w:val="2"/>
          <w:sz w:val="32"/>
          <w:szCs w:val="32"/>
        </w:rPr>
        <w:t>。</w:t>
      </w:r>
    </w:p>
    <w:p w14:paraId="4E262E36">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2.本项目为</w:t>
      </w:r>
      <w:r>
        <w:rPr>
          <w:rFonts w:hint="eastAsia" w:ascii="仿宋_GB2312" w:hAnsi="仿宋_GB2312" w:eastAsia="仿宋_GB2312" w:cs="仿宋_GB2312"/>
          <w:b/>
          <w:bCs/>
          <w:spacing w:val="0"/>
          <w:kern w:val="2"/>
          <w:sz w:val="32"/>
          <w:szCs w:val="32"/>
        </w:rPr>
        <w:t>交钥匙工程</w:t>
      </w:r>
      <w:r>
        <w:rPr>
          <w:rFonts w:hint="eastAsia" w:ascii="仿宋_GB2312" w:hAnsi="仿宋_GB2312" w:eastAsia="仿宋_GB2312" w:cs="仿宋_GB2312"/>
          <w:spacing w:val="0"/>
          <w:kern w:val="2"/>
          <w:sz w:val="32"/>
          <w:szCs w:val="32"/>
        </w:rPr>
        <w:t>。报价含完成本项目（包括但不限于询价文件要求的技术标准、工期和采购范围）所需的人工费、设备费、管理费、利润、税率、材料费、交通费、垃圾清运费、售后服务费及合同明示或暗示的一切风险等完成本项目所需的全部费用。成交后不允许擅自改变服务内容、质量标准、期限与追加项目预算。供应商发生漏报、少报等情况由供应商自负，如供应商发生漏报、少报等情况将被视为已包含在其他项目的报价中。成交后不允许擅自改变服务内容、质量标准、期限与追加项目预算。甲方不另行承担其他费用及责任。</w:t>
      </w:r>
    </w:p>
    <w:p w14:paraId="561E68EF">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3.供应商报价不得有选择性和附有条件，否则其报价无效。</w:t>
      </w:r>
    </w:p>
    <w:p w14:paraId="26664C01">
      <w:pPr>
        <w:pStyle w:val="15"/>
        <w:spacing w:line="360" w:lineRule="auto"/>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4.供应商应确保所提供的服务、材料及询价文件其他相关内容，不存在环保、安全缺陷问题。若因环保、安全问题所发生的责任和全部经济损失由供应商承担。</w:t>
      </w:r>
    </w:p>
    <w:p w14:paraId="0B53547F">
      <w:pPr>
        <w:pStyle w:val="15"/>
        <w:spacing w:line="360" w:lineRule="auto"/>
        <w:jc w:val="both"/>
        <w:rPr>
          <w:rFonts w:hint="eastAsia" w:ascii="仿宋_GB2312" w:hAnsi="仿宋_GB2312" w:eastAsia="仿宋_GB2312" w:cs="仿宋_GB2312"/>
          <w:spacing w:val="0"/>
          <w:kern w:val="2"/>
          <w:sz w:val="32"/>
          <w:szCs w:val="32"/>
          <w:highlight w:val="yellow"/>
          <w:lang w:val="en-US" w:eastAsia="zh-CN"/>
        </w:rPr>
      </w:pPr>
      <w:r>
        <w:rPr>
          <w:rFonts w:hint="eastAsia" w:ascii="仿宋_GB2312" w:hAnsi="仿宋_GB2312" w:eastAsia="仿宋_GB2312" w:cs="仿宋_GB2312"/>
          <w:spacing w:val="0"/>
          <w:kern w:val="2"/>
          <w:sz w:val="32"/>
          <w:szCs w:val="32"/>
        </w:rPr>
        <w:t>5.货币：报价中的单价和合价全部采用人民币表示。</w:t>
      </w:r>
    </w:p>
    <w:p w14:paraId="1AE527F4">
      <w:pPr>
        <w:pStyle w:val="16"/>
        <w:spacing w:line="360" w:lineRule="auto"/>
        <w:ind w:firstLine="0" w:firstLineChars="0"/>
        <w:rPr>
          <w:rFonts w:hint="eastAsia" w:ascii="黑体" w:hAnsi="黑体" w:eastAsia="黑体" w:cs="黑体"/>
          <w:sz w:val="32"/>
          <w:szCs w:val="32"/>
        </w:rPr>
      </w:pPr>
      <w:r>
        <w:rPr>
          <w:rFonts w:hint="eastAsia" w:ascii="黑体" w:hAnsi="黑体" w:eastAsia="黑体" w:cs="黑体"/>
          <w:spacing w:val="0"/>
          <w:kern w:val="2"/>
          <w:sz w:val="32"/>
          <w:szCs w:val="32"/>
          <w:lang w:val="en-US" w:eastAsia="zh-CN"/>
        </w:rPr>
        <w:t>九</w:t>
      </w:r>
      <w:r>
        <w:rPr>
          <w:rFonts w:hint="eastAsia" w:ascii="黑体" w:hAnsi="黑体" w:eastAsia="黑体" w:cs="黑体"/>
          <w:spacing w:val="0"/>
          <w:kern w:val="2"/>
          <w:sz w:val="32"/>
          <w:szCs w:val="32"/>
        </w:rPr>
        <w:t>、</w:t>
      </w:r>
      <w:r>
        <w:rPr>
          <w:rFonts w:hint="eastAsia" w:ascii="黑体" w:hAnsi="黑体" w:eastAsia="黑体" w:cs="黑体"/>
          <w:sz w:val="32"/>
          <w:szCs w:val="32"/>
        </w:rPr>
        <w:t>付款：</w:t>
      </w:r>
    </w:p>
    <w:p w14:paraId="5E34BB19">
      <w:pPr>
        <w:pStyle w:val="16"/>
        <w:spacing w:line="36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付款方式：出具正式的鉴定报告经甲方验收合格后15个工作日内电汇支付100%，供应商需提供增值税专用发票。</w:t>
      </w:r>
    </w:p>
    <w:p w14:paraId="5E86F281">
      <w:pPr>
        <w:pStyle w:val="16"/>
        <w:numPr>
          <w:ilvl w:val="0"/>
          <w:numId w:val="4"/>
        </w:numPr>
        <w:spacing w:line="360" w:lineRule="auto"/>
        <w:ind w:firstLine="0" w:firstLineChars="0"/>
        <w:rPr>
          <w:rFonts w:hint="eastAsia" w:ascii="仿宋_GB2312" w:hAnsi="仿宋_GB2312" w:eastAsia="仿宋_GB2312" w:cs="仿宋_GB2312"/>
          <w:sz w:val="32"/>
          <w:szCs w:val="32"/>
        </w:rPr>
      </w:pPr>
      <w:r>
        <w:rPr>
          <w:rFonts w:hint="default" w:cs="仿宋_GB2312" w:asciiTheme="minorEastAsia" w:hAnsiTheme="minorEastAsia" w:eastAsiaTheme="minorEastAsia"/>
          <w:color w:val="000000"/>
          <w:kern w:val="0"/>
          <w:sz w:val="32"/>
          <w:szCs w:val="32"/>
          <w:lang w:val="en-US" w:eastAsia="zh-CN" w:bidi="ar"/>
        </w:rPr>
        <w:t>合格供应商在符合项目采购要求的前提下，最低价成交，请投标单位诚实报价，采购方一旦发现投标单位有违法违规现象，该投标方将进入采购方供应商黑名单，永不合作</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z w:val="32"/>
          <w:szCs w:val="32"/>
        </w:rPr>
        <w:t xml:space="preserve"> </w:t>
      </w:r>
    </w:p>
    <w:p w14:paraId="0D3D4279">
      <w:pPr>
        <w:pStyle w:val="3"/>
        <w:spacing w:line="413" w:lineRule="auto"/>
        <w:jc w:val="both"/>
        <w:rPr>
          <w:rFonts w:hint="eastAsia" w:ascii="宋体" w:hAnsi="宋体" w:eastAsia="宋体"/>
          <w:sz w:val="24"/>
          <w:szCs w:val="24"/>
        </w:rPr>
      </w:pPr>
      <w:bookmarkStart w:id="10" w:name="_GoBack"/>
      <w:bookmarkEnd w:id="10"/>
    </w:p>
    <w:p w14:paraId="15DFA507">
      <w:pPr>
        <w:rPr>
          <w:rFonts w:hint="eastAsia" w:ascii="宋体" w:hAnsi="宋体" w:eastAsia="宋体"/>
          <w:sz w:val="24"/>
          <w:szCs w:val="24"/>
        </w:rPr>
      </w:pPr>
    </w:p>
    <w:p w14:paraId="0A1508F5">
      <w:pPr>
        <w:pStyle w:val="4"/>
        <w:rPr>
          <w:rFonts w:hint="eastAsia" w:ascii="宋体" w:hAnsi="宋体" w:eastAsia="宋体"/>
          <w:sz w:val="24"/>
          <w:szCs w:val="24"/>
        </w:rPr>
      </w:pPr>
    </w:p>
    <w:p w14:paraId="07C2A40D">
      <w:pPr>
        <w:pStyle w:val="4"/>
        <w:rPr>
          <w:rFonts w:hint="eastAsia" w:ascii="宋体" w:hAnsi="宋体" w:eastAsia="宋体"/>
          <w:sz w:val="24"/>
          <w:szCs w:val="24"/>
        </w:rPr>
      </w:pPr>
    </w:p>
    <w:p w14:paraId="727D870E">
      <w:pPr>
        <w:pStyle w:val="4"/>
        <w:rPr>
          <w:rFonts w:hint="eastAsia" w:ascii="宋体" w:hAnsi="宋体" w:eastAsia="宋体"/>
          <w:sz w:val="24"/>
          <w:szCs w:val="24"/>
        </w:rPr>
      </w:pPr>
    </w:p>
    <w:p w14:paraId="64A86C8B">
      <w:pPr>
        <w:pStyle w:val="4"/>
        <w:rPr>
          <w:rFonts w:hint="eastAsia" w:ascii="宋体" w:hAnsi="宋体" w:eastAsia="宋体"/>
          <w:sz w:val="24"/>
          <w:szCs w:val="24"/>
        </w:rPr>
      </w:pPr>
    </w:p>
    <w:p w14:paraId="30878BC6">
      <w:pPr>
        <w:pStyle w:val="4"/>
        <w:rPr>
          <w:rFonts w:hint="eastAsia" w:ascii="宋体" w:hAnsi="宋体" w:eastAsia="宋体"/>
          <w:sz w:val="24"/>
          <w:szCs w:val="24"/>
        </w:rPr>
      </w:pPr>
    </w:p>
    <w:p w14:paraId="197A6ED9">
      <w:pPr>
        <w:rPr>
          <w:rFonts w:hint="eastAsia"/>
        </w:rPr>
      </w:pPr>
    </w:p>
    <w:p w14:paraId="702F67CE">
      <w:pPr>
        <w:pStyle w:val="3"/>
        <w:spacing w:line="413" w:lineRule="auto"/>
        <w:jc w:val="center"/>
        <w:rPr>
          <w:rFonts w:ascii="宋体" w:hAnsi="宋体" w:eastAsia="宋体"/>
          <w:sz w:val="24"/>
          <w:szCs w:val="24"/>
        </w:rPr>
      </w:pPr>
      <w:r>
        <w:rPr>
          <w:rFonts w:hint="eastAsia" w:ascii="宋体" w:hAnsi="宋体" w:eastAsia="宋体"/>
          <w:sz w:val="24"/>
          <w:szCs w:val="24"/>
        </w:rPr>
        <w:t>附件1、报价一览表</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518F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AE4DC8">
            <w:pPr>
              <w:spacing w:line="420" w:lineRule="exact"/>
              <w:jc w:val="center"/>
              <w:rPr>
                <w:rFonts w:ascii="宋体" w:hAnsi="宋体"/>
                <w:sz w:val="24"/>
              </w:rPr>
            </w:pPr>
            <w:r>
              <w:rPr>
                <w:rFonts w:hint="eastAsia" w:ascii="宋体" w:hAnsi="宋体"/>
                <w:sz w:val="24"/>
              </w:rPr>
              <w:t>供应商</w:t>
            </w:r>
          </w:p>
        </w:tc>
        <w:tc>
          <w:tcPr>
            <w:tcW w:w="7488" w:type="dxa"/>
          </w:tcPr>
          <w:p w14:paraId="6AEAECE9">
            <w:pPr>
              <w:spacing w:line="420" w:lineRule="exact"/>
              <w:rPr>
                <w:rFonts w:ascii="宋体" w:hAnsi="宋体"/>
                <w:sz w:val="24"/>
              </w:rPr>
            </w:pPr>
          </w:p>
        </w:tc>
      </w:tr>
      <w:tr w14:paraId="3D3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DD891D4">
            <w:pPr>
              <w:spacing w:line="420" w:lineRule="exact"/>
              <w:rPr>
                <w:rFonts w:hint="eastAsia" w:ascii="宋体" w:hAnsi="宋体" w:eastAsiaTheme="minorEastAsia"/>
                <w:sz w:val="24"/>
                <w:lang w:eastAsia="zh-CN"/>
              </w:rPr>
            </w:pPr>
            <w:r>
              <w:rPr>
                <w:rFonts w:hint="eastAsia" w:ascii="宋体" w:hAnsi="宋体"/>
                <w:sz w:val="24"/>
              </w:rPr>
              <w:t>总报价</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p>
        </w:tc>
        <w:tc>
          <w:tcPr>
            <w:tcW w:w="7488" w:type="dxa"/>
            <w:vAlign w:val="center"/>
          </w:tcPr>
          <w:p w14:paraId="0240C663">
            <w:pPr>
              <w:spacing w:line="420" w:lineRule="exact"/>
              <w:ind w:firstLine="1680" w:firstLineChars="70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r>
              <w:rPr>
                <w:rFonts w:hint="eastAsia" w:asciiTheme="minorEastAsia" w:hAnsiTheme="minorEastAsia" w:cstheme="minorEastAsia"/>
                <w:sz w:val="24"/>
              </w:rPr>
              <w:t>元</w:t>
            </w:r>
          </w:p>
          <w:p w14:paraId="086EBDED">
            <w:pPr>
              <w:spacing w:line="420" w:lineRule="exact"/>
              <w:ind w:firstLine="1680" w:firstLineChars="700"/>
              <w:rPr>
                <w:rFonts w:ascii="宋体" w:hAnsi="宋体"/>
                <w:sz w:val="24"/>
              </w:rPr>
            </w:pPr>
            <w:r>
              <w:rPr>
                <w:rFonts w:hint="eastAsia" w:asciiTheme="minorEastAsia" w:hAnsiTheme="minorEastAsia" w:cstheme="minorEastAsia"/>
                <w:sz w:val="24"/>
              </w:rPr>
              <w:t>大写：</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r>
              <w:rPr>
                <w:rFonts w:hint="eastAsia" w:asciiTheme="minorEastAsia" w:hAnsiTheme="minorEastAsia" w:cstheme="minorEastAsia"/>
                <w:sz w:val="24"/>
              </w:rPr>
              <w:t>元</w:t>
            </w:r>
          </w:p>
        </w:tc>
      </w:tr>
      <w:tr w14:paraId="4E21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549D339">
            <w:pPr>
              <w:spacing w:line="420" w:lineRule="exact"/>
              <w:rPr>
                <w:rFonts w:hint="eastAsia" w:ascii="宋体" w:hAnsi="宋体" w:eastAsiaTheme="minorEastAsia"/>
                <w:sz w:val="24"/>
                <w:lang w:val="en-US" w:eastAsia="zh-CN"/>
              </w:rPr>
            </w:pPr>
            <w:r>
              <w:rPr>
                <w:rFonts w:hint="eastAsia" w:ascii="宋体" w:hAnsi="宋体"/>
                <w:sz w:val="24"/>
                <w:lang w:val="en-US" w:eastAsia="zh-CN"/>
              </w:rPr>
              <w:t>增值税专用发票税率</w:t>
            </w:r>
          </w:p>
        </w:tc>
        <w:tc>
          <w:tcPr>
            <w:tcW w:w="7488" w:type="dxa"/>
            <w:vAlign w:val="center"/>
          </w:tcPr>
          <w:p w14:paraId="1834003B">
            <w:pPr>
              <w:spacing w:line="420" w:lineRule="exact"/>
              <w:ind w:firstLine="1680" w:firstLineChars="700"/>
              <w:rPr>
                <w:rFonts w:hint="eastAsia" w:ascii="宋体" w:hAnsi="宋体" w:eastAsiaTheme="minorEastAsia"/>
                <w:sz w:val="24"/>
                <w:lang w:val="en-US" w:eastAsia="zh-CN"/>
              </w:rPr>
            </w:pPr>
            <w:r>
              <w:rPr>
                <w:rFonts w:hint="eastAsia" w:ascii="宋体" w:hAnsi="宋体"/>
                <w:sz w:val="24"/>
                <w:lang w:val="en-US" w:eastAsia="zh-CN"/>
              </w:rPr>
              <w:t>%</w:t>
            </w:r>
          </w:p>
        </w:tc>
      </w:tr>
      <w:tr w14:paraId="5780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FCE539A">
            <w:pPr>
              <w:spacing w:line="420" w:lineRule="exact"/>
              <w:jc w:val="center"/>
              <w:rPr>
                <w:rFonts w:hint="default" w:ascii="宋体" w:hAnsi="宋体" w:eastAsiaTheme="minorEastAsia"/>
                <w:sz w:val="24"/>
                <w:lang w:val="en-US" w:eastAsia="zh-CN"/>
              </w:rPr>
            </w:pPr>
            <w:r>
              <w:rPr>
                <w:rFonts w:hint="eastAsia" w:ascii="宋体" w:hAnsi="宋体"/>
                <w:sz w:val="24"/>
                <w:lang w:val="en-US" w:eastAsia="zh-CN"/>
              </w:rPr>
              <w:t>实施周期</w:t>
            </w:r>
          </w:p>
        </w:tc>
        <w:tc>
          <w:tcPr>
            <w:tcW w:w="7488" w:type="dxa"/>
            <w:vAlign w:val="center"/>
          </w:tcPr>
          <w:p w14:paraId="596A20FF">
            <w:pPr>
              <w:spacing w:line="420" w:lineRule="exact"/>
              <w:ind w:firstLine="720" w:firstLineChars="300"/>
              <w:rPr>
                <w:rFonts w:hint="default" w:ascii="宋体" w:hAnsi="宋体" w:eastAsiaTheme="minorEastAsia"/>
                <w:sz w:val="24"/>
                <w:lang w:val="en-US" w:eastAsia="zh-CN"/>
              </w:rPr>
            </w:pPr>
          </w:p>
        </w:tc>
      </w:tr>
      <w:tr w14:paraId="62ED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01496F9D">
            <w:pPr>
              <w:spacing w:line="420" w:lineRule="exact"/>
              <w:jc w:val="center"/>
              <w:rPr>
                <w:rFonts w:ascii="宋体" w:hAnsi="宋体"/>
                <w:sz w:val="24"/>
              </w:rPr>
            </w:pPr>
            <w:r>
              <w:rPr>
                <w:rFonts w:hint="eastAsia"/>
              </w:rPr>
              <w:t>与询价采购文件是否有偏离</w:t>
            </w:r>
          </w:p>
        </w:tc>
        <w:tc>
          <w:tcPr>
            <w:tcW w:w="7488" w:type="dxa"/>
            <w:vAlign w:val="center"/>
          </w:tcPr>
          <w:p w14:paraId="794B905B">
            <w:pPr>
              <w:spacing w:line="300" w:lineRule="auto"/>
              <w:rPr>
                <w:rFonts w:ascii="宋体" w:hAnsi="宋体"/>
                <w:sz w:val="24"/>
              </w:rPr>
            </w:pPr>
          </w:p>
        </w:tc>
      </w:tr>
      <w:tr w14:paraId="190E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BD1231D">
            <w:pPr>
              <w:spacing w:line="420" w:lineRule="exact"/>
              <w:jc w:val="center"/>
              <w:rPr>
                <w:rFonts w:ascii="宋体" w:hAnsi="宋体"/>
                <w:sz w:val="24"/>
              </w:rPr>
            </w:pPr>
            <w:r>
              <w:rPr>
                <w:rFonts w:hint="eastAsia"/>
              </w:rPr>
              <w:t>对询价采购文件及合同条款的认同程度</w:t>
            </w:r>
          </w:p>
        </w:tc>
        <w:tc>
          <w:tcPr>
            <w:tcW w:w="7488" w:type="dxa"/>
            <w:vAlign w:val="center"/>
          </w:tcPr>
          <w:p w14:paraId="013CEAF4">
            <w:pPr>
              <w:spacing w:line="300" w:lineRule="auto"/>
              <w:rPr>
                <w:rFonts w:ascii="宋体" w:hAnsi="宋体"/>
                <w:sz w:val="24"/>
              </w:rPr>
            </w:pPr>
          </w:p>
        </w:tc>
      </w:tr>
      <w:tr w14:paraId="0DDF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15A58F4">
            <w:pPr>
              <w:spacing w:line="420" w:lineRule="exact"/>
              <w:jc w:val="center"/>
              <w:rPr>
                <w:rFonts w:ascii="宋体" w:hAnsi="宋体"/>
                <w:sz w:val="24"/>
              </w:rPr>
            </w:pPr>
            <w:r>
              <w:rPr>
                <w:rFonts w:hint="eastAsia" w:ascii="宋体" w:hAnsi="宋体"/>
                <w:sz w:val="24"/>
              </w:rPr>
              <w:t>备注</w:t>
            </w:r>
          </w:p>
        </w:tc>
        <w:tc>
          <w:tcPr>
            <w:tcW w:w="7488" w:type="dxa"/>
            <w:vAlign w:val="center"/>
          </w:tcPr>
          <w:p w14:paraId="12136A3D">
            <w:pPr>
              <w:spacing w:line="420" w:lineRule="exact"/>
              <w:jc w:val="center"/>
              <w:rPr>
                <w:rFonts w:ascii="宋体" w:hAnsi="宋体"/>
                <w:sz w:val="24"/>
              </w:rPr>
            </w:pPr>
          </w:p>
        </w:tc>
      </w:tr>
    </w:tbl>
    <w:p w14:paraId="115CE1F0">
      <w:pPr>
        <w:spacing w:line="460" w:lineRule="exact"/>
        <w:rPr>
          <w:rFonts w:ascii="宋体" w:hAnsi="宋体"/>
          <w:sz w:val="24"/>
        </w:rPr>
      </w:pPr>
    </w:p>
    <w:p w14:paraId="33546CE9">
      <w:pPr>
        <w:spacing w:line="460" w:lineRule="exact"/>
        <w:rPr>
          <w:rFonts w:ascii="宋体" w:hAnsi="宋体"/>
          <w:sz w:val="24"/>
        </w:rPr>
      </w:pPr>
      <w:r>
        <w:rPr>
          <w:rFonts w:hint="eastAsia" w:ascii="宋体" w:hAnsi="宋体"/>
          <w:sz w:val="24"/>
        </w:rPr>
        <w:t xml:space="preserve">供应商（盖章）：                   </w:t>
      </w:r>
    </w:p>
    <w:p w14:paraId="48E2ED60">
      <w:pPr>
        <w:spacing w:line="500" w:lineRule="exact"/>
        <w:rPr>
          <w:rFonts w:ascii="宋体" w:hAnsi="宋体"/>
          <w:sz w:val="24"/>
        </w:rPr>
      </w:pPr>
      <w:r>
        <w:rPr>
          <w:rFonts w:hint="eastAsia" w:ascii="宋体" w:hAnsi="宋体"/>
          <w:sz w:val="24"/>
        </w:rPr>
        <w:t xml:space="preserve">法定代表人（或授权代表）：（签字或盖章）                          </w:t>
      </w:r>
    </w:p>
    <w:p w14:paraId="44B967B2">
      <w:pPr>
        <w:spacing w:line="500" w:lineRule="exact"/>
        <w:ind w:firstLine="6000" w:firstLineChars="25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CC001E">
      <w:pPr>
        <w:spacing w:line="500" w:lineRule="exact"/>
        <w:rPr>
          <w:rFonts w:ascii="宋体" w:hAnsi="宋体"/>
          <w:sz w:val="24"/>
        </w:rPr>
      </w:pPr>
    </w:p>
    <w:p w14:paraId="3E49D2A9"/>
    <w:p w14:paraId="31236CF8">
      <w:pPr>
        <w:pStyle w:val="3"/>
        <w:spacing w:line="413" w:lineRule="auto"/>
        <w:jc w:val="center"/>
        <w:rPr>
          <w:rFonts w:ascii="宋体" w:hAnsi="宋体" w:eastAsia="宋体"/>
          <w:bCs w:val="0"/>
          <w:sz w:val="24"/>
          <w:szCs w:val="24"/>
        </w:rPr>
      </w:pPr>
      <w:bookmarkStart w:id="1" w:name="_Toc312249630"/>
      <w:bookmarkStart w:id="2" w:name="_Toc390179801"/>
      <w:bookmarkStart w:id="3" w:name="_Toc39916983"/>
      <w:r>
        <w:rPr>
          <w:rFonts w:hint="eastAsia" w:ascii="宋体" w:hAnsi="宋体" w:eastAsia="宋体"/>
          <w:sz w:val="24"/>
          <w:szCs w:val="24"/>
        </w:rPr>
        <w:t>附件2、法人承诺书</w:t>
      </w:r>
      <w:bookmarkEnd w:id="1"/>
      <w:bookmarkEnd w:id="2"/>
      <w:bookmarkEnd w:id="3"/>
    </w:p>
    <w:p w14:paraId="37183C30">
      <w:pPr>
        <w:spacing w:line="500" w:lineRule="exact"/>
        <w:rPr>
          <w:rFonts w:ascii="宋体" w:hAnsi="宋体"/>
          <w:b/>
          <w:sz w:val="24"/>
        </w:rPr>
      </w:pPr>
    </w:p>
    <w:p w14:paraId="37C9CBF7">
      <w:pPr>
        <w:snapToGrid w:val="0"/>
        <w:spacing w:line="300" w:lineRule="auto"/>
        <w:ind w:right="105" w:rightChars="50"/>
        <w:rPr>
          <w:rFonts w:ascii="宋体" w:hAnsi="宋体"/>
          <w:sz w:val="24"/>
        </w:rPr>
      </w:pPr>
    </w:p>
    <w:p w14:paraId="53A283FE">
      <w:pPr>
        <w:snapToGrid w:val="0"/>
        <w:spacing w:line="300" w:lineRule="auto"/>
        <w:ind w:right="105" w:rightChars="50" w:firstLine="120" w:firstLineChars="50"/>
        <w:rPr>
          <w:rFonts w:ascii="宋体" w:hAnsi="宋体"/>
          <w:b/>
          <w:sz w:val="24"/>
        </w:rPr>
      </w:pPr>
      <w:r>
        <w:rPr>
          <w:rFonts w:hint="eastAsia" w:ascii="宋体" w:hAnsi="宋体"/>
          <w:sz w:val="24"/>
          <w:u w:val="single"/>
        </w:rPr>
        <w:t xml:space="preserve">      （采购人名称）       </w:t>
      </w:r>
      <w:r>
        <w:rPr>
          <w:rFonts w:hint="eastAsia" w:ascii="宋体" w:hAnsi="宋体"/>
          <w:b/>
          <w:sz w:val="24"/>
        </w:rPr>
        <w:t>：</w:t>
      </w:r>
    </w:p>
    <w:p w14:paraId="1CAE8922">
      <w:pPr>
        <w:spacing w:line="500" w:lineRule="exact"/>
        <w:ind w:firstLine="0"/>
        <w:rPr>
          <w:rFonts w:ascii="宋体" w:hAnsi="宋体"/>
          <w:sz w:val="24"/>
        </w:rPr>
      </w:pPr>
    </w:p>
    <w:p w14:paraId="6ECF995E">
      <w:pPr>
        <w:pStyle w:val="4"/>
        <w:spacing w:line="900" w:lineRule="exact"/>
        <w:ind w:firstLine="480"/>
        <w:rPr>
          <w:sz w:val="24"/>
        </w:rPr>
      </w:pPr>
      <w:r>
        <w:rPr>
          <w:rFonts w:hint="eastAsia" w:ascii="宋体" w:hAnsi="宋体"/>
          <w:sz w:val="24"/>
        </w:rPr>
        <w:t>我方已收到并认真阅读了《</w:t>
      </w:r>
      <w:r>
        <w:rPr>
          <w:rFonts w:hint="eastAsia" w:ascii="宋体" w:hAnsi="宋体"/>
          <w:sz w:val="24"/>
          <w:u w:val="single"/>
        </w:rPr>
        <w:t xml:space="preserve">   （项目名称）    </w:t>
      </w:r>
      <w:r>
        <w:rPr>
          <w:rFonts w:hint="eastAsia"/>
          <w:sz w:val="24"/>
        </w:rPr>
        <w:t>》规定的全部条件和义务。我方承诺按照</w:t>
      </w:r>
      <w:r>
        <w:rPr>
          <w:rFonts w:hint="eastAsia" w:ascii="宋体" w:hAnsi="宋体"/>
          <w:sz w:val="24"/>
        </w:rPr>
        <w:t>《</w:t>
      </w:r>
      <w:r>
        <w:rPr>
          <w:rFonts w:hint="eastAsia" w:ascii="宋体" w:hAnsi="宋体"/>
          <w:sz w:val="24"/>
          <w:u w:val="single"/>
        </w:rPr>
        <w:t xml:space="preserve">              </w:t>
      </w:r>
      <w:r>
        <w:rPr>
          <w:rFonts w:hint="eastAsia" w:ascii="宋体" w:hAnsi="宋体"/>
          <w:sz w:val="24"/>
        </w:rPr>
        <w:t>项目询价文件</w:t>
      </w:r>
      <w:r>
        <w:rPr>
          <w:rFonts w:hint="eastAsia"/>
          <w:sz w:val="24"/>
        </w:rPr>
        <w:t>》所规定的全部条件和义务执行。否则，愿意接受询价文件规定的处罚，并承当相应的法律责任。</w:t>
      </w:r>
    </w:p>
    <w:p w14:paraId="2D3B97F2">
      <w:pPr>
        <w:spacing w:line="500" w:lineRule="exact"/>
        <w:ind w:firstLine="0"/>
        <w:rPr>
          <w:rFonts w:ascii="宋体" w:hAnsi="宋体"/>
          <w:sz w:val="24"/>
        </w:rPr>
      </w:pPr>
    </w:p>
    <w:p w14:paraId="6240EEDC">
      <w:pPr>
        <w:spacing w:line="500" w:lineRule="exact"/>
        <w:ind w:firstLine="0"/>
        <w:rPr>
          <w:rFonts w:ascii="宋体" w:hAnsi="宋体"/>
          <w:sz w:val="24"/>
        </w:rPr>
      </w:pPr>
    </w:p>
    <w:p w14:paraId="701866DB">
      <w:pPr>
        <w:spacing w:line="500" w:lineRule="exact"/>
        <w:ind w:firstLine="5200" w:firstLineChars="2167"/>
        <w:rPr>
          <w:rFonts w:ascii="宋体" w:hAnsi="宋体"/>
          <w:sz w:val="24"/>
        </w:rPr>
      </w:pPr>
      <w:r>
        <w:rPr>
          <w:rFonts w:hint="eastAsia" w:ascii="宋体" w:hAnsi="宋体"/>
          <w:sz w:val="24"/>
        </w:rPr>
        <w:t>供应商：         （盖章）</w:t>
      </w:r>
    </w:p>
    <w:p w14:paraId="732EBFD7">
      <w:pPr>
        <w:spacing w:line="500" w:lineRule="exact"/>
        <w:ind w:firstLine="0"/>
        <w:rPr>
          <w:rFonts w:ascii="宋体" w:hAnsi="宋体"/>
          <w:sz w:val="24"/>
        </w:rPr>
      </w:pPr>
    </w:p>
    <w:p w14:paraId="02A0ED94">
      <w:pPr>
        <w:spacing w:line="500" w:lineRule="exact"/>
        <w:ind w:firstLine="5200" w:firstLineChars="2167"/>
        <w:rPr>
          <w:rFonts w:ascii="宋体" w:hAnsi="宋体"/>
          <w:sz w:val="24"/>
        </w:rPr>
      </w:pPr>
      <w:r>
        <w:rPr>
          <w:rFonts w:hint="eastAsia" w:ascii="宋体" w:hAnsi="宋体"/>
          <w:sz w:val="24"/>
        </w:rPr>
        <w:t>法定代表人：（签字或盖章）</w:t>
      </w:r>
    </w:p>
    <w:p w14:paraId="14338422">
      <w:pPr>
        <w:spacing w:line="500" w:lineRule="exact"/>
        <w:rPr>
          <w:rFonts w:ascii="宋体" w:hAnsi="宋体"/>
          <w:sz w:val="24"/>
        </w:rPr>
      </w:pPr>
    </w:p>
    <w:p w14:paraId="2128DE81">
      <w:pPr>
        <w:spacing w:line="500" w:lineRule="exact"/>
        <w:ind w:firstLine="5040" w:firstLineChars="21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ECC5CB">
      <w:pPr>
        <w:pStyle w:val="3"/>
        <w:spacing w:line="413" w:lineRule="auto"/>
        <w:jc w:val="center"/>
        <w:rPr>
          <w:rFonts w:ascii="宋体" w:hAnsi="宋体" w:eastAsia="宋体"/>
          <w:bCs w:val="0"/>
          <w:sz w:val="24"/>
          <w:szCs w:val="24"/>
        </w:rPr>
      </w:pPr>
      <w:r>
        <w:rPr>
          <w:rFonts w:ascii="宋体" w:hAnsi="宋体"/>
          <w:sz w:val="24"/>
        </w:rPr>
        <w:br w:type="page"/>
      </w:r>
      <w:bookmarkStart w:id="4" w:name="_Toc390179803"/>
      <w:bookmarkStart w:id="5" w:name="_Toc39916984"/>
      <w:r>
        <w:rPr>
          <w:rFonts w:hint="eastAsia" w:ascii="宋体" w:hAnsi="宋体" w:eastAsia="宋体"/>
          <w:sz w:val="24"/>
          <w:szCs w:val="24"/>
        </w:rPr>
        <w:t>附件3、法人授权委托书</w:t>
      </w:r>
      <w:bookmarkEnd w:id="4"/>
      <w:bookmarkEnd w:id="5"/>
    </w:p>
    <w:p w14:paraId="116CC8CD">
      <w:pPr>
        <w:rPr>
          <w:rFonts w:ascii="宋体" w:hAnsi="宋体"/>
          <w:sz w:val="28"/>
        </w:rPr>
      </w:pPr>
    </w:p>
    <w:p w14:paraId="156021F7">
      <w:pPr>
        <w:spacing w:line="46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 xml:space="preserve">（姓名）为我公司授权代表，以本公司的名义参加 </w:t>
      </w:r>
      <w:r>
        <w:rPr>
          <w:rFonts w:hint="eastAsia" w:ascii="宋体" w:hAnsi="宋体"/>
          <w:sz w:val="24"/>
          <w:u w:val="single"/>
        </w:rPr>
        <w:t xml:space="preserve">                </w:t>
      </w:r>
      <w:r>
        <w:rPr>
          <w:rFonts w:hint="eastAsia" w:ascii="宋体" w:hAnsi="宋体"/>
          <w:sz w:val="24"/>
        </w:rPr>
        <w:t>（采购人）的</w:t>
      </w:r>
      <w:r>
        <w:rPr>
          <w:rFonts w:hint="eastAsia" w:ascii="宋体" w:hAnsi="宋体"/>
          <w:sz w:val="24"/>
          <w:u w:val="single"/>
        </w:rPr>
        <w:t xml:space="preserve">                  </w:t>
      </w:r>
      <w:r>
        <w:rPr>
          <w:rFonts w:hint="eastAsia" w:ascii="宋体" w:hAnsi="宋体"/>
          <w:sz w:val="24"/>
        </w:rPr>
        <w:t>询价活动。授权代表在报价、评审、合同谈判过程中所签署的一切文件和处理与之有关的一切事务。我均予以承认，特此委托。</w:t>
      </w:r>
    </w:p>
    <w:p w14:paraId="2403AAC4">
      <w:pPr>
        <w:spacing w:line="460" w:lineRule="exact"/>
        <w:rPr>
          <w:rFonts w:ascii="宋体" w:hAnsi="宋体"/>
          <w:sz w:val="24"/>
        </w:rPr>
      </w:pPr>
    </w:p>
    <w:p w14:paraId="3BBAF739">
      <w:pPr>
        <w:spacing w:line="460" w:lineRule="exact"/>
        <w:rPr>
          <w:rFonts w:ascii="宋体" w:hAnsi="宋体"/>
          <w:sz w:val="24"/>
        </w:rPr>
      </w:pPr>
      <w:r>
        <w:rPr>
          <w:rFonts w:hint="eastAsia" w:ascii="宋体" w:hAnsi="宋体"/>
          <w:sz w:val="24"/>
        </w:rPr>
        <w:t>授权代表无转委托权。特此委托。</w:t>
      </w:r>
    </w:p>
    <w:p w14:paraId="0EAB0D44">
      <w:pPr>
        <w:spacing w:line="460" w:lineRule="exact"/>
        <w:jc w:val="center"/>
        <w:rPr>
          <w:rFonts w:ascii="宋体" w:hAnsi="宋体"/>
          <w:sz w:val="24"/>
        </w:rPr>
      </w:pPr>
      <w:r>
        <w:rPr>
          <w:rFonts w:hint="eastAsia" w:ascii="宋体" w:hAnsi="宋体"/>
          <w:sz w:val="24"/>
        </w:rPr>
        <w:t>（附身份证复印件正、反面）</w:t>
      </w:r>
    </w:p>
    <w:p w14:paraId="5328AF16">
      <w:pPr>
        <w:spacing w:line="460" w:lineRule="exact"/>
        <w:rPr>
          <w:rFonts w:ascii="宋体" w:hAnsi="宋体"/>
          <w:sz w:val="24"/>
        </w:rPr>
      </w:pPr>
    </w:p>
    <w:p w14:paraId="5AD1C079">
      <w:pPr>
        <w:spacing w:line="460" w:lineRule="exact"/>
        <w:rPr>
          <w:rFonts w:ascii="宋体" w:hAnsi="宋体"/>
          <w:sz w:val="24"/>
        </w:rPr>
      </w:pPr>
      <w:r>
        <w:rPr>
          <w:rFonts w:hint="eastAsia" w:ascii="宋体" w:hAnsi="宋体"/>
          <w:sz w:val="24"/>
        </w:rPr>
        <w:t>授权代表：               性别：      年龄：</w:t>
      </w:r>
    </w:p>
    <w:p w14:paraId="3BD1C7DC">
      <w:pPr>
        <w:spacing w:line="460" w:lineRule="exact"/>
        <w:rPr>
          <w:rFonts w:ascii="宋体" w:hAnsi="宋体"/>
          <w:sz w:val="24"/>
        </w:rPr>
      </w:pPr>
    </w:p>
    <w:p w14:paraId="79ED1DF5">
      <w:pPr>
        <w:spacing w:line="460" w:lineRule="exact"/>
        <w:rPr>
          <w:rFonts w:ascii="宋体" w:hAnsi="宋体"/>
          <w:sz w:val="24"/>
        </w:rPr>
      </w:pPr>
      <w:r>
        <w:rPr>
          <w:rFonts w:hint="eastAsia" w:ascii="宋体" w:hAnsi="宋体"/>
          <w:sz w:val="24"/>
        </w:rPr>
        <w:t>单位：                               部门：           职务：</w:t>
      </w:r>
    </w:p>
    <w:p w14:paraId="18A33472">
      <w:pPr>
        <w:spacing w:line="460" w:lineRule="exact"/>
        <w:rPr>
          <w:rFonts w:ascii="宋体" w:hAnsi="宋体"/>
          <w:sz w:val="24"/>
        </w:rPr>
      </w:pPr>
    </w:p>
    <w:p w14:paraId="481FB761">
      <w:pPr>
        <w:spacing w:line="460" w:lineRule="exact"/>
        <w:rPr>
          <w:rFonts w:ascii="宋体" w:hAnsi="宋体"/>
          <w:sz w:val="24"/>
        </w:rPr>
      </w:pPr>
      <w:r>
        <w:rPr>
          <w:rFonts w:hint="eastAsia" w:ascii="宋体" w:hAnsi="宋体"/>
          <w:sz w:val="24"/>
        </w:rPr>
        <w:t>供应商：（盖章）</w:t>
      </w:r>
    </w:p>
    <w:p w14:paraId="03CAE666">
      <w:pPr>
        <w:spacing w:line="460" w:lineRule="exact"/>
        <w:rPr>
          <w:rFonts w:ascii="宋体" w:hAnsi="宋体"/>
          <w:sz w:val="24"/>
        </w:rPr>
      </w:pPr>
    </w:p>
    <w:p w14:paraId="6053660D">
      <w:pPr>
        <w:spacing w:line="460" w:lineRule="exact"/>
        <w:rPr>
          <w:rFonts w:ascii="宋体" w:hAnsi="宋体"/>
          <w:sz w:val="24"/>
        </w:rPr>
      </w:pPr>
      <w:r>
        <w:rPr>
          <w:rFonts w:hint="eastAsia" w:ascii="宋体" w:hAnsi="宋体"/>
          <w:sz w:val="24"/>
        </w:rPr>
        <w:t>法定代表人：（签字或盖章）</w:t>
      </w:r>
    </w:p>
    <w:p w14:paraId="754D3894">
      <w:pPr>
        <w:spacing w:line="460" w:lineRule="exact"/>
        <w:rPr>
          <w:rFonts w:ascii="宋体" w:hAnsi="宋体"/>
          <w:sz w:val="24"/>
        </w:rPr>
      </w:pPr>
    </w:p>
    <w:p w14:paraId="7B859870">
      <w:pPr>
        <w:spacing w:line="46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35F87F">
      <w:pPr>
        <w:spacing w:line="460" w:lineRule="exact"/>
        <w:rPr>
          <w:rFonts w:ascii="宋体" w:hAnsi="宋体"/>
          <w:sz w:val="24"/>
        </w:rPr>
      </w:pPr>
    </w:p>
    <w:p w14:paraId="648B0B0F">
      <w:pPr>
        <w:spacing w:line="460" w:lineRule="exact"/>
        <w:jc w:val="both"/>
        <w:rPr>
          <w:rFonts w:ascii="宋体" w:hAnsi="宋体"/>
          <w:b w:val="0"/>
          <w:bCs w:val="0"/>
          <w:sz w:val="24"/>
        </w:rPr>
      </w:pPr>
    </w:p>
    <w:p w14:paraId="45342002">
      <w:pPr>
        <w:spacing w:line="460" w:lineRule="exact"/>
        <w:ind w:firstLine="0" w:firstLineChars="0"/>
        <w:rPr>
          <w:rFonts w:ascii="宋体" w:hAnsi="宋体"/>
          <w:b w:val="0"/>
          <w:bCs w:val="0"/>
          <w:sz w:val="24"/>
        </w:rPr>
      </w:pPr>
    </w:p>
    <w:p w14:paraId="7BBCB33B">
      <w:pPr>
        <w:spacing w:line="460" w:lineRule="exact"/>
        <w:ind w:firstLine="0" w:firstLineChars="0"/>
        <w:jc w:val="both"/>
        <w:rPr>
          <w:rFonts w:ascii="宋体" w:hAnsi="宋体"/>
          <w:b w:val="0"/>
          <w:bCs w:val="0"/>
          <w:sz w:val="24"/>
        </w:rPr>
      </w:pPr>
    </w:p>
    <w:p w14:paraId="1134DBB8">
      <w:pPr>
        <w:spacing w:line="460" w:lineRule="exact"/>
        <w:rPr>
          <w:rFonts w:ascii="宋体" w:hAnsi="宋体"/>
          <w:b/>
          <w:bCs/>
          <w:sz w:val="24"/>
        </w:rPr>
      </w:pPr>
    </w:p>
    <w:p w14:paraId="0AED3108">
      <w:pPr>
        <w:spacing w:line="460" w:lineRule="exact"/>
      </w:pPr>
      <w:bookmarkStart w:id="6" w:name="_Toc390179805"/>
      <w:r>
        <w:rPr>
          <w:rFonts w:ascii="宋体" w:hAnsi="宋体" w:eastAsia="宋体"/>
          <w:sz w:val="24"/>
        </w:rPr>
        <w:br w:type="page"/>
      </w:r>
      <w:bookmarkEnd w:id="6"/>
      <w:bookmarkStart w:id="7" w:name="_Toc317090632"/>
      <w:bookmarkStart w:id="8" w:name="_Toc317091345"/>
      <w:bookmarkStart w:id="9" w:name="_Toc312249636"/>
    </w:p>
    <w:p w14:paraId="487EB75A">
      <w:pPr>
        <w:widowControl/>
        <w:jc w:val="left"/>
        <w:rPr>
          <w:rFonts w:hint="eastAsia"/>
        </w:rPr>
      </w:pPr>
    </w:p>
    <w:p w14:paraId="21D3A7E5">
      <w:pPr>
        <w:pStyle w:val="3"/>
        <w:spacing w:line="413" w:lineRule="auto"/>
        <w:jc w:val="center"/>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4</w:t>
      </w:r>
      <w:r>
        <w:rPr>
          <w:rFonts w:hint="eastAsia" w:ascii="宋体" w:hAnsi="宋体" w:eastAsia="宋体"/>
          <w:sz w:val="24"/>
          <w:szCs w:val="24"/>
        </w:rPr>
        <w:t>、报价</w:t>
      </w:r>
      <w:bookmarkEnd w:id="7"/>
      <w:bookmarkEnd w:id="8"/>
      <w:bookmarkEnd w:id="9"/>
      <w:r>
        <w:rPr>
          <w:rFonts w:hint="eastAsia" w:ascii="宋体" w:hAnsi="宋体" w:eastAsia="宋体"/>
          <w:sz w:val="24"/>
          <w:szCs w:val="24"/>
        </w:rPr>
        <w:t>明细表</w:t>
      </w:r>
    </w:p>
    <w:p w14:paraId="4FDCD2F5"/>
    <w:tbl>
      <w:tblPr>
        <w:tblStyle w:val="10"/>
        <w:tblW w:w="8420" w:type="dxa"/>
        <w:jc w:val="center"/>
        <w:tblLayout w:type="fixed"/>
        <w:tblCellMar>
          <w:top w:w="0" w:type="dxa"/>
          <w:left w:w="108" w:type="dxa"/>
          <w:bottom w:w="0" w:type="dxa"/>
          <w:right w:w="108" w:type="dxa"/>
        </w:tblCellMar>
      </w:tblPr>
      <w:tblGrid>
        <w:gridCol w:w="1172"/>
        <w:gridCol w:w="2193"/>
        <w:gridCol w:w="830"/>
        <w:gridCol w:w="1476"/>
        <w:gridCol w:w="1279"/>
        <w:gridCol w:w="1470"/>
      </w:tblGrid>
      <w:tr w14:paraId="53978237">
        <w:tblPrEx>
          <w:tblCellMar>
            <w:top w:w="0" w:type="dxa"/>
            <w:left w:w="108" w:type="dxa"/>
            <w:bottom w:w="0" w:type="dxa"/>
            <w:right w:w="108" w:type="dxa"/>
          </w:tblCellMar>
        </w:tblPrEx>
        <w:trPr>
          <w:trHeight w:val="60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E7E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8BA3">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项目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D172">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C51A">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单价（元）</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33F">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合价（元）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A8B2">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备注</w:t>
            </w:r>
          </w:p>
        </w:tc>
      </w:tr>
      <w:tr w14:paraId="546EBCF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1B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718">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6AF1">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745F">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2BA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F9B6">
            <w:pPr>
              <w:widowControl/>
              <w:jc w:val="center"/>
              <w:textAlignment w:val="center"/>
              <w:rPr>
                <w:rFonts w:ascii="仿宋_GB2312" w:hAnsi="宋体" w:eastAsia="仿宋_GB2312" w:cs="仿宋_GB2312"/>
                <w:color w:val="000000"/>
                <w:sz w:val="24"/>
              </w:rPr>
            </w:pPr>
          </w:p>
        </w:tc>
      </w:tr>
      <w:tr w14:paraId="08D12940">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47B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23B9">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428D">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0CF6">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2F6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795F">
            <w:pPr>
              <w:widowControl/>
              <w:jc w:val="center"/>
              <w:textAlignment w:val="center"/>
              <w:rPr>
                <w:rFonts w:ascii="仿宋_GB2312" w:hAnsi="宋体" w:eastAsia="仿宋_GB2312" w:cs="仿宋_GB2312"/>
                <w:color w:val="000000"/>
                <w:sz w:val="24"/>
              </w:rPr>
            </w:pPr>
          </w:p>
        </w:tc>
      </w:tr>
      <w:tr w14:paraId="2A05661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9C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2EA">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4">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567">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6FE">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1A9">
            <w:pPr>
              <w:widowControl/>
              <w:jc w:val="center"/>
              <w:textAlignment w:val="center"/>
              <w:rPr>
                <w:rFonts w:ascii="仿宋_GB2312" w:hAnsi="宋体" w:eastAsia="仿宋_GB2312" w:cs="仿宋_GB2312"/>
                <w:color w:val="000000"/>
                <w:sz w:val="24"/>
              </w:rPr>
            </w:pPr>
          </w:p>
        </w:tc>
      </w:tr>
      <w:tr w14:paraId="3B0F0FB9">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01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0150">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1A34">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02F3">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F7C0">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4190">
            <w:pPr>
              <w:widowControl/>
              <w:jc w:val="center"/>
              <w:textAlignment w:val="center"/>
              <w:rPr>
                <w:rFonts w:ascii="仿宋_GB2312" w:hAnsi="宋体" w:eastAsia="仿宋_GB2312" w:cs="仿宋_GB2312"/>
                <w:color w:val="000000"/>
                <w:sz w:val="24"/>
              </w:rPr>
            </w:pPr>
          </w:p>
        </w:tc>
      </w:tr>
      <w:tr w14:paraId="0BD954EB">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0F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54D4">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07BC">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6C0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DD67">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987A">
            <w:pPr>
              <w:widowControl/>
              <w:jc w:val="center"/>
              <w:textAlignment w:val="center"/>
              <w:rPr>
                <w:rFonts w:ascii="仿宋_GB2312" w:hAnsi="宋体" w:eastAsia="仿宋_GB2312" w:cs="仿宋_GB2312"/>
                <w:color w:val="000000"/>
                <w:sz w:val="24"/>
              </w:rPr>
            </w:pPr>
          </w:p>
        </w:tc>
      </w:tr>
      <w:tr w14:paraId="04CDF128">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19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A7B9">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1835">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855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3D82">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9B70">
            <w:pPr>
              <w:widowControl/>
              <w:jc w:val="center"/>
              <w:textAlignment w:val="center"/>
              <w:rPr>
                <w:rFonts w:ascii="仿宋_GB2312" w:hAnsi="宋体" w:eastAsia="仿宋_GB2312" w:cs="仿宋_GB2312"/>
                <w:color w:val="000000"/>
                <w:sz w:val="24"/>
              </w:rPr>
            </w:pPr>
          </w:p>
        </w:tc>
      </w:tr>
      <w:tr w14:paraId="378F45DE">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3A5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96A">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A3A">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9A11">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6475">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DA9">
            <w:pPr>
              <w:widowControl/>
              <w:jc w:val="center"/>
              <w:textAlignment w:val="center"/>
              <w:rPr>
                <w:rFonts w:ascii="仿宋_GB2312" w:hAnsi="宋体" w:eastAsia="仿宋_GB2312" w:cs="仿宋_GB2312"/>
                <w:color w:val="000000"/>
                <w:sz w:val="24"/>
              </w:rPr>
            </w:pPr>
          </w:p>
        </w:tc>
      </w:tr>
      <w:tr w14:paraId="2712AF71">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155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D38">
            <w:pPr>
              <w:widowControl/>
              <w:jc w:val="center"/>
              <w:textAlignment w:val="center"/>
              <w:rPr>
                <w:rFonts w:ascii="仿宋_GB2312" w:hAnsi="宋体" w:eastAsia="仿宋_GB2312" w:cs="仿宋_GB2312"/>
                <w:color w:val="000000"/>
                <w:sz w:val="24"/>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32D">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A48">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30C">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140">
            <w:pPr>
              <w:widowControl/>
              <w:jc w:val="center"/>
              <w:textAlignment w:val="center"/>
              <w:rPr>
                <w:rFonts w:ascii="仿宋_GB2312" w:hAnsi="宋体" w:eastAsia="仿宋_GB2312" w:cs="仿宋_GB2312"/>
                <w:color w:val="000000"/>
                <w:sz w:val="24"/>
              </w:rPr>
            </w:pPr>
          </w:p>
        </w:tc>
      </w:tr>
      <w:tr w14:paraId="421500AC">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37B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9F6">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DB2">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51D">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B8B1">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B38">
            <w:pPr>
              <w:widowControl/>
              <w:jc w:val="center"/>
              <w:textAlignment w:val="center"/>
              <w:rPr>
                <w:rFonts w:ascii="仿宋_GB2312" w:hAnsi="宋体" w:eastAsia="仿宋_GB2312" w:cs="仿宋_GB2312"/>
                <w:color w:val="000000"/>
                <w:sz w:val="24"/>
              </w:rPr>
            </w:pPr>
          </w:p>
        </w:tc>
      </w:tr>
      <w:tr w14:paraId="05E46486">
        <w:tblPrEx>
          <w:tblCellMar>
            <w:top w:w="0" w:type="dxa"/>
            <w:left w:w="108" w:type="dxa"/>
            <w:bottom w:w="0" w:type="dxa"/>
            <w:right w:w="108" w:type="dxa"/>
          </w:tblCellMar>
        </w:tblPrEx>
        <w:trPr>
          <w:trHeight w:val="44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25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FE56">
            <w:pPr>
              <w:widowControl/>
              <w:jc w:val="center"/>
              <w:textAlignment w:val="center"/>
              <w:rPr>
                <w:rFonts w:ascii="仿宋_GB2312" w:hAnsi="宋体" w:eastAsia="仿宋_GB2312" w:cs="仿宋_GB2312"/>
                <w:color w:val="000000"/>
                <w:sz w:val="24"/>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E017">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AB2">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E6D">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452">
            <w:pPr>
              <w:widowControl/>
              <w:jc w:val="center"/>
              <w:textAlignment w:val="center"/>
              <w:rPr>
                <w:rFonts w:ascii="仿宋_GB2312" w:hAnsi="宋体" w:eastAsia="仿宋_GB2312" w:cs="仿宋_GB2312"/>
                <w:color w:val="000000"/>
                <w:sz w:val="24"/>
              </w:rPr>
            </w:pPr>
          </w:p>
        </w:tc>
      </w:tr>
      <w:tr w14:paraId="2B7B6D39">
        <w:tblPrEx>
          <w:tblCellMar>
            <w:top w:w="0" w:type="dxa"/>
            <w:left w:w="108" w:type="dxa"/>
            <w:bottom w:w="0" w:type="dxa"/>
            <w:right w:w="108" w:type="dxa"/>
          </w:tblCellMar>
        </w:tblPrEx>
        <w:trPr>
          <w:trHeight w:val="570"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E2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DD2B">
            <w:pPr>
              <w:widowControl/>
              <w:jc w:val="center"/>
              <w:textAlignment w:val="center"/>
              <w:rPr>
                <w:rFonts w:ascii="仿宋_GB2312" w:hAnsi="宋体" w:eastAsia="仿宋_GB2312" w:cs="仿宋_GB2312"/>
                <w:color w:val="000000"/>
                <w:sz w:val="24"/>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760A">
            <w:pPr>
              <w:widowControl/>
              <w:jc w:val="center"/>
              <w:textAlignment w:val="center"/>
              <w:rPr>
                <w:rFonts w:ascii="仿宋_GB2312" w:hAnsi="宋体" w:eastAsia="仿宋_GB2312" w:cs="仿宋_GB2312"/>
                <w:color w:val="000000"/>
                <w:sz w:val="24"/>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390C">
            <w:pPr>
              <w:widowControl/>
              <w:jc w:val="center"/>
              <w:textAlignment w:val="center"/>
              <w:rPr>
                <w:rFonts w:ascii="仿宋_GB2312" w:hAnsi="宋体" w:eastAsia="仿宋_GB2312" w:cs="仿宋_GB2312"/>
                <w:color w:val="000000"/>
                <w:sz w:val="24"/>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4BEA">
            <w:pPr>
              <w:widowControl/>
              <w:jc w:val="center"/>
              <w:textAlignment w:val="center"/>
              <w:rPr>
                <w:rFonts w:ascii="仿宋_GB2312" w:hAnsi="宋体" w:eastAsia="仿宋_GB2312" w:cs="仿宋_GB2312"/>
                <w:color w:val="000000"/>
                <w:sz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1F95">
            <w:pPr>
              <w:widowControl/>
              <w:jc w:val="center"/>
              <w:textAlignment w:val="center"/>
              <w:rPr>
                <w:rFonts w:ascii="仿宋_GB2312" w:hAnsi="宋体" w:eastAsia="仿宋_GB2312" w:cs="仿宋_GB2312"/>
                <w:color w:val="000000"/>
                <w:sz w:val="24"/>
              </w:rPr>
            </w:pPr>
          </w:p>
        </w:tc>
      </w:tr>
      <w:tr w14:paraId="0DDD3399">
        <w:tblPrEx>
          <w:tblCellMar>
            <w:top w:w="0" w:type="dxa"/>
            <w:left w:w="108" w:type="dxa"/>
            <w:bottom w:w="0" w:type="dxa"/>
            <w:right w:w="108" w:type="dxa"/>
          </w:tblCellMar>
        </w:tblPrEx>
        <w:trPr>
          <w:trHeight w:val="855"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23C">
            <w:pPr>
              <w:widowControl/>
              <w:jc w:val="center"/>
              <w:textAlignment w:val="center"/>
              <w:rPr>
                <w:rFonts w:ascii="仿宋_GB2312" w:hAnsi="宋体" w:eastAsia="仿宋_GB2312" w:cs="仿宋_GB2312"/>
                <w:color w:val="000000"/>
                <w:sz w:val="24"/>
              </w:rPr>
            </w:pPr>
          </w:p>
        </w:tc>
        <w:tc>
          <w:tcPr>
            <w:tcW w:w="2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A90F">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合计（元）</w:t>
            </w:r>
          </w:p>
        </w:tc>
        <w:tc>
          <w:tcPr>
            <w:tcW w:w="50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7508BD">
            <w:pPr>
              <w:widowControl/>
              <w:jc w:val="center"/>
              <w:textAlignment w:val="center"/>
              <w:rPr>
                <w:rFonts w:ascii="仿宋_GB2312" w:hAnsi="宋体" w:eastAsia="仿宋_GB2312" w:cs="仿宋_GB2312"/>
                <w:color w:val="000000"/>
                <w:sz w:val="24"/>
              </w:rPr>
            </w:pPr>
          </w:p>
        </w:tc>
      </w:tr>
      <w:tr w14:paraId="44AAF695">
        <w:tblPrEx>
          <w:tblCellMar>
            <w:top w:w="0" w:type="dxa"/>
            <w:left w:w="108" w:type="dxa"/>
            <w:bottom w:w="0" w:type="dxa"/>
            <w:right w:w="108" w:type="dxa"/>
          </w:tblCellMar>
        </w:tblPrEx>
        <w:trPr>
          <w:trHeight w:val="855" w:hRule="atLeast"/>
          <w:jc w:val="center"/>
        </w:trPr>
        <w:tc>
          <w:tcPr>
            <w:tcW w:w="84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D7A">
            <w:pPr>
              <w:widowControl/>
              <w:textAlignment w:val="center"/>
              <w:rPr>
                <w:rFonts w:ascii="仿宋_GB2312" w:hAnsi="宋体" w:eastAsia="仿宋_GB2312" w:cs="仿宋_GB2312"/>
                <w:color w:val="000000"/>
                <w:sz w:val="24"/>
                <w:highlight w:val="yellow"/>
              </w:rPr>
            </w:pPr>
          </w:p>
        </w:tc>
      </w:tr>
    </w:tbl>
    <w:p w14:paraId="5D5DE742">
      <w:pPr>
        <w:spacing w:before="240" w:line="360" w:lineRule="auto"/>
        <w:ind w:left="991" w:leftChars="472" w:right="966" w:rightChars="460"/>
        <w:rPr>
          <w:sz w:val="24"/>
        </w:rPr>
      </w:pPr>
    </w:p>
    <w:p w14:paraId="4E51C1E9">
      <w:pPr>
        <w:spacing w:before="240" w:line="360" w:lineRule="auto"/>
        <w:ind w:left="991" w:leftChars="472" w:right="966" w:rightChars="460"/>
        <w:rPr>
          <w:sz w:val="24"/>
        </w:rPr>
      </w:pPr>
      <w:r>
        <w:rPr>
          <w:rFonts w:hint="eastAsia"/>
          <w:sz w:val="24"/>
          <w:lang w:val="en-US" w:eastAsia="zh-CN"/>
        </w:rPr>
        <w:t>如有其他情况，请在此列明。</w:t>
      </w:r>
    </w:p>
    <w:p w14:paraId="502D7516">
      <w:pPr>
        <w:spacing w:line="500" w:lineRule="exact"/>
        <w:ind w:firstLine="960" w:firstLineChars="400"/>
        <w:rPr>
          <w:rFonts w:ascii="宋体" w:hAnsi="宋体"/>
          <w:sz w:val="24"/>
        </w:rPr>
      </w:pPr>
      <w:r>
        <w:rPr>
          <w:rFonts w:hint="eastAsia" w:ascii="宋体" w:hAnsi="宋体"/>
          <w:sz w:val="24"/>
        </w:rPr>
        <w:t>供应商（盖章）：</w:t>
      </w:r>
    </w:p>
    <w:p w14:paraId="7AF1BAAF">
      <w:pPr>
        <w:spacing w:line="500" w:lineRule="exact"/>
        <w:ind w:firstLine="960" w:firstLineChars="400"/>
        <w:rPr>
          <w:rFonts w:ascii="宋体" w:hAnsi="宋体"/>
          <w:sz w:val="24"/>
        </w:rPr>
      </w:pPr>
      <w:r>
        <w:rPr>
          <w:rFonts w:hint="eastAsia" w:ascii="宋体" w:hAnsi="宋体"/>
          <w:sz w:val="24"/>
        </w:rPr>
        <w:t>法定代表人（或授权代表）：（签字或盖章）</w:t>
      </w:r>
    </w:p>
    <w:p w14:paraId="0E8A6837">
      <w:pPr>
        <w:spacing w:line="460" w:lineRule="exact"/>
        <w:ind w:firstLine="960" w:firstLineChars="4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44343C5"/>
    <w:p w14:paraId="2A83E117"/>
    <w:p w14:paraId="418C28F1">
      <w:pPr>
        <w:rPr>
          <w:rFonts w:hint="eastAsia" w:ascii="仿宋_GB2312" w:hAnsi="仿宋_GB2312" w:eastAsia="仿宋_GB2312" w:cs="仿宋_GB2312"/>
          <w:sz w:val="32"/>
          <w:szCs w:val="32"/>
        </w:rPr>
      </w:pPr>
    </w:p>
    <w:p w14:paraId="60A2B483">
      <w:pPr>
        <w:rPr>
          <w:rFonts w:hint="eastAsia" w:ascii="仿宋_GB2312" w:hAnsi="仿宋_GB2312" w:eastAsia="仿宋_GB2312" w:cs="仿宋_GB2312"/>
          <w:sz w:val="32"/>
          <w:szCs w:val="32"/>
        </w:rPr>
      </w:pPr>
    </w:p>
    <w:p w14:paraId="5BC03E5C">
      <w:pPr>
        <w:jc w:val="center"/>
        <w:rPr>
          <w:rFonts w:hint="eastAsia" w:ascii="黑体" w:eastAsia="黑体"/>
          <w:b/>
          <w:sz w:val="44"/>
          <w:szCs w:val="44"/>
        </w:rPr>
      </w:pPr>
      <w:r>
        <w:rPr>
          <w:rFonts w:hint="eastAsia" w:ascii="黑体" w:eastAsia="黑体"/>
          <w:b/>
          <w:sz w:val="44"/>
          <w:szCs w:val="44"/>
        </w:rPr>
        <w:t>合同格式</w:t>
      </w:r>
    </w:p>
    <w:p w14:paraId="7792BF69">
      <w:pPr>
        <w:jc w:val="center"/>
        <w:rPr>
          <w:rFonts w:hint="eastAsia" w:ascii="黑体" w:eastAsia="黑体"/>
          <w:b/>
          <w:sz w:val="44"/>
          <w:szCs w:val="44"/>
        </w:rPr>
      </w:pPr>
      <w:r>
        <w:rPr>
          <w:rFonts w:hint="eastAsia" w:hAnsi="宋体" w:cs="宋体"/>
          <w:spacing w:val="20"/>
          <w:kern w:val="0"/>
          <w:sz w:val="28"/>
          <w:szCs w:val="28"/>
        </w:rPr>
        <w:t>（供参考，正式合同在成交后依据项目实际情况签订）</w:t>
      </w:r>
    </w:p>
    <w:p w14:paraId="11086CA5">
      <w:pPr>
        <w:jc w:val="center"/>
        <w:rPr>
          <w:rFonts w:hint="eastAsia" w:ascii="黑体" w:eastAsia="黑体"/>
          <w:b/>
          <w:sz w:val="44"/>
          <w:szCs w:val="44"/>
        </w:rPr>
      </w:pPr>
      <w:r>
        <w:rPr>
          <w:rFonts w:hint="eastAsia" w:ascii="黑体" w:eastAsia="黑体"/>
          <w:b/>
          <w:sz w:val="44"/>
          <w:szCs w:val="44"/>
        </w:rPr>
        <w:t>2025年上半年资产报废与处置鉴定服务合同</w:t>
      </w:r>
    </w:p>
    <w:p w14:paraId="672CBDC9">
      <w:pPr>
        <w:rPr>
          <w:szCs w:val="24"/>
        </w:rPr>
      </w:pPr>
    </w:p>
    <w:p w14:paraId="76B1C2D5">
      <w:pPr>
        <w:jc w:val="right"/>
        <w:rPr>
          <w:rFonts w:hint="eastAsia"/>
          <w:szCs w:val="24"/>
        </w:rPr>
      </w:pPr>
      <w:r>
        <w:rPr>
          <w:rFonts w:hint="eastAsia"/>
          <w:szCs w:val="24"/>
        </w:rPr>
        <w:t xml:space="preserve">                           合同编号：</w:t>
      </w:r>
    </w:p>
    <w:p w14:paraId="51CC4D33">
      <w:pPr>
        <w:spacing w:before="156" w:beforeLines="50" w:after="156" w:afterLines="50"/>
        <w:rPr>
          <w:rFonts w:hint="eastAsia" w:ascii="黑体" w:eastAsia="黑体"/>
          <w:sz w:val="24"/>
        </w:rPr>
      </w:pPr>
      <w:r>
        <w:rPr>
          <w:rFonts w:hint="eastAsia" w:ascii="黑体" w:eastAsia="黑体"/>
          <w:sz w:val="24"/>
          <w:szCs w:val="24"/>
        </w:rPr>
        <w:t>甲  方：</w:t>
      </w:r>
      <w:r>
        <w:rPr>
          <w:rFonts w:hint="eastAsia" w:ascii="宋体" w:hAnsi="宋体"/>
          <w:szCs w:val="21"/>
          <w:u w:val="single"/>
        </w:rPr>
        <w:t>中国广电山东网络有限公司</w:t>
      </w:r>
      <w:r>
        <w:rPr>
          <w:rFonts w:ascii="宋体" w:hAnsi="宋体"/>
          <w:szCs w:val="21"/>
          <w:u w:val="single"/>
        </w:rPr>
        <w:t xml:space="preserve">                        </w:t>
      </w:r>
      <w:r>
        <w:rPr>
          <w:rFonts w:hint="eastAsia" w:ascii="宋体" w:hAnsi="宋体"/>
          <w:szCs w:val="21"/>
          <w:u w:val="single"/>
        </w:rPr>
        <w:t xml:space="preserve">    </w:t>
      </w:r>
      <w:r>
        <w:rPr>
          <w:rFonts w:hint="eastAsia" w:ascii="黑体" w:eastAsia="黑体"/>
          <w:szCs w:val="21"/>
          <w:u w:val="single"/>
        </w:rPr>
        <w:t xml:space="preserve">                          </w:t>
      </w:r>
      <w:r>
        <w:rPr>
          <w:rFonts w:ascii="黑体" w:eastAsia="黑体"/>
          <w:szCs w:val="21"/>
          <w:u w:val="single"/>
        </w:rPr>
        <w:t xml:space="preserve">    </w:t>
      </w:r>
      <w:r>
        <w:rPr>
          <w:rFonts w:hint="eastAsia" w:ascii="黑体" w:eastAsia="黑体"/>
          <w:szCs w:val="21"/>
          <w:u w:val="single"/>
        </w:rPr>
        <w:t xml:space="preserve">                        </w:t>
      </w:r>
    </w:p>
    <w:p w14:paraId="7B1FE178">
      <w:pPr>
        <w:spacing w:before="156" w:beforeLines="50" w:after="156" w:afterLines="50"/>
        <w:rPr>
          <w:rFonts w:hint="eastAsia" w:ascii="黑体" w:eastAsia="黑体"/>
          <w:sz w:val="24"/>
        </w:rPr>
      </w:pPr>
      <w:r>
        <w:rPr>
          <w:rFonts w:hint="eastAsia" w:ascii="黑体" w:eastAsia="黑体"/>
          <w:sz w:val="24"/>
        </w:rPr>
        <w:t>地  址：</w:t>
      </w:r>
      <w:r>
        <w:rPr>
          <w:rFonts w:hint="eastAsia" w:ascii="宋体" w:hAnsi="宋体"/>
          <w:szCs w:val="21"/>
          <w:u w:val="single"/>
        </w:rPr>
        <w:t xml:space="preserve"> 济南历下区洪山路1号                                                          </w:t>
      </w:r>
      <w:r>
        <w:rPr>
          <w:rFonts w:hint="eastAsia" w:ascii="黑体" w:eastAsia="黑体"/>
          <w:szCs w:val="21"/>
          <w:u w:val="single"/>
        </w:rPr>
        <w:t xml:space="preserve">                     </w:t>
      </w:r>
    </w:p>
    <w:p w14:paraId="0751E6A2">
      <w:pPr>
        <w:spacing w:before="156" w:beforeLines="50" w:after="156" w:afterLines="50"/>
        <w:rPr>
          <w:rFonts w:hint="eastAsia" w:ascii="宋体" w:hAnsi="宋体"/>
          <w:sz w:val="24"/>
          <w:szCs w:val="24"/>
        </w:rPr>
      </w:pPr>
      <w:r>
        <w:rPr>
          <w:rFonts w:hint="eastAsia" w:ascii="黑体" w:eastAsia="黑体"/>
          <w:sz w:val="24"/>
        </w:rPr>
        <w:t>电  话：</w:t>
      </w:r>
      <w:r>
        <w:rPr>
          <w:rFonts w:hint="eastAsia" w:ascii="宋体" w:hAnsi="宋体"/>
          <w:sz w:val="24"/>
          <w:szCs w:val="24"/>
          <w:u w:val="single"/>
        </w:rPr>
        <w:t xml:space="preserve">0531-85051575 </w:t>
      </w:r>
      <w:r>
        <w:rPr>
          <w:rFonts w:hint="eastAsia" w:ascii="黑体" w:eastAsia="黑体"/>
          <w:sz w:val="24"/>
          <w:u w:val="single"/>
        </w:rPr>
        <w:t xml:space="preserve">        </w:t>
      </w:r>
      <w:r>
        <w:rPr>
          <w:rFonts w:hint="eastAsia" w:ascii="宋体" w:hAnsi="宋体"/>
          <w:szCs w:val="21"/>
          <w:u w:val="single"/>
        </w:rPr>
        <w:t xml:space="preserve">                 </w:t>
      </w:r>
      <w:r>
        <w:rPr>
          <w:rFonts w:hint="eastAsia" w:ascii="黑体" w:eastAsia="黑体"/>
          <w:szCs w:val="21"/>
          <w:u w:val="single"/>
        </w:rPr>
        <w:t xml:space="preserve">                                                 </w:t>
      </w:r>
    </w:p>
    <w:p w14:paraId="7D5E2663">
      <w:pPr>
        <w:spacing w:before="156" w:beforeLines="50" w:after="156" w:afterLines="50"/>
        <w:rPr>
          <w:rFonts w:ascii="黑体" w:eastAsia="黑体"/>
          <w:sz w:val="24"/>
          <w:szCs w:val="24"/>
        </w:rPr>
      </w:pPr>
    </w:p>
    <w:p w14:paraId="22158879">
      <w:pPr>
        <w:spacing w:before="156" w:beforeLines="50" w:after="156" w:afterLines="50"/>
        <w:rPr>
          <w:rFonts w:hint="eastAsia" w:ascii="黑体" w:eastAsia="黑体"/>
          <w:sz w:val="24"/>
          <w:szCs w:val="24"/>
        </w:rPr>
      </w:pPr>
      <w:r>
        <w:rPr>
          <w:rFonts w:hint="eastAsia" w:ascii="黑体" w:eastAsia="黑体"/>
          <w:sz w:val="24"/>
          <w:szCs w:val="24"/>
        </w:rPr>
        <w:t>乙  方：</w:t>
      </w:r>
      <w:r>
        <w:rPr>
          <w:rFonts w:hint="eastAsia" w:ascii="宋体" w:hAnsi="宋体"/>
          <w:sz w:val="24"/>
          <w:szCs w:val="24"/>
          <w:u w:val="single"/>
        </w:rPr>
        <w:t xml:space="preserve">                                                                  </w:t>
      </w:r>
    </w:p>
    <w:p w14:paraId="5CDB0681">
      <w:pPr>
        <w:spacing w:before="156" w:beforeLines="50" w:after="156" w:afterLines="50"/>
        <w:rPr>
          <w:rFonts w:hint="eastAsia" w:ascii="黑体" w:eastAsia="黑体"/>
          <w:sz w:val="24"/>
          <w:szCs w:val="24"/>
        </w:rPr>
      </w:pPr>
      <w:r>
        <w:rPr>
          <w:rFonts w:hint="eastAsia" w:ascii="黑体" w:eastAsia="黑体"/>
          <w:sz w:val="24"/>
          <w:szCs w:val="24"/>
        </w:rPr>
        <w:t>地  址：</w:t>
      </w:r>
      <w:r>
        <w:rPr>
          <w:rFonts w:hint="eastAsia" w:ascii="宋体" w:hAnsi="宋体"/>
          <w:sz w:val="24"/>
          <w:szCs w:val="24"/>
          <w:u w:val="single"/>
        </w:rPr>
        <w:t xml:space="preserve">                                                                   </w:t>
      </w:r>
    </w:p>
    <w:p w14:paraId="45CCEC88">
      <w:pPr>
        <w:spacing w:before="156" w:beforeLines="50" w:after="156" w:afterLines="50"/>
        <w:rPr>
          <w:rFonts w:hint="eastAsia" w:ascii="黑体" w:eastAsia="黑体"/>
          <w:sz w:val="24"/>
          <w:szCs w:val="24"/>
        </w:rPr>
      </w:pPr>
      <w:r>
        <w:rPr>
          <w:rFonts w:hint="eastAsia" w:ascii="黑体" w:eastAsia="黑体"/>
          <w:sz w:val="24"/>
          <w:szCs w:val="24"/>
        </w:rPr>
        <w:t>电  话：</w:t>
      </w:r>
      <w:r>
        <w:rPr>
          <w:rFonts w:hint="eastAsia" w:ascii="宋体" w:hAnsi="宋体"/>
          <w:sz w:val="24"/>
          <w:szCs w:val="24"/>
          <w:u w:val="single"/>
        </w:rPr>
        <w:t xml:space="preserve">                                                                 </w:t>
      </w:r>
    </w:p>
    <w:p w14:paraId="77139FE5">
      <w:pPr>
        <w:spacing w:line="30" w:lineRule="atLeast"/>
        <w:rPr>
          <w:szCs w:val="24"/>
        </w:rPr>
      </w:pPr>
    </w:p>
    <w:p w14:paraId="2E300F47">
      <w:pPr>
        <w:spacing w:line="360" w:lineRule="auto"/>
        <w:ind w:firstLine="420" w:firstLineChars="200"/>
        <w:rPr>
          <w:rFonts w:hint="eastAsia" w:ascii="宋体" w:hAnsi="宋体"/>
          <w:szCs w:val="21"/>
        </w:rPr>
      </w:pPr>
      <w:r>
        <w:rPr>
          <w:rFonts w:hint="eastAsia" w:ascii="宋体" w:hAnsi="宋体"/>
          <w:szCs w:val="21"/>
        </w:rPr>
        <w:t>甲方委托乙方进行甲方全省202</w:t>
      </w:r>
      <w:r>
        <w:rPr>
          <w:rFonts w:hint="eastAsia" w:ascii="宋体" w:hAnsi="宋体"/>
          <w:szCs w:val="21"/>
          <w:lang w:val="en-US" w:eastAsia="zh-CN"/>
        </w:rPr>
        <w:t>5</w:t>
      </w:r>
      <w:r>
        <w:rPr>
          <w:rFonts w:hint="eastAsia" w:ascii="宋体" w:hAnsi="宋体"/>
          <w:szCs w:val="21"/>
        </w:rPr>
        <w:t>年上半年资产报废与处置鉴定事宜，为明确双方的权利义务，根据《中华人民共和国民法典》等相关法律法规，制定如下条款，并共同遵守：</w:t>
      </w:r>
    </w:p>
    <w:p w14:paraId="01CC0601">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一、甲方委托事项</w:t>
      </w:r>
    </w:p>
    <w:p w14:paraId="769EEE45">
      <w:pPr>
        <w:numPr>
          <w:ilvl w:val="0"/>
          <w:numId w:val="3"/>
        </w:numPr>
        <w:ind w:firstLine="420" w:firstLineChars="200"/>
        <w:rPr>
          <w:rFonts w:hint="eastAsia" w:ascii="Times New Roman" w:hAnsi="Times New Roman" w:eastAsia="宋体" w:cs="Times New Roman"/>
          <w:szCs w:val="21"/>
        </w:rPr>
      </w:pPr>
      <w:r>
        <w:rPr>
          <w:rFonts w:hint="eastAsia"/>
          <w:szCs w:val="21"/>
        </w:rPr>
        <w:t>甲方全省</w:t>
      </w:r>
      <w:r>
        <w:rPr>
          <w:szCs w:val="21"/>
        </w:rPr>
        <w:t>202</w:t>
      </w:r>
      <w:r>
        <w:rPr>
          <w:rFonts w:hint="eastAsia"/>
          <w:szCs w:val="21"/>
          <w:lang w:val="en-US" w:eastAsia="zh-CN"/>
        </w:rPr>
        <w:t>5</w:t>
      </w:r>
      <w:r>
        <w:rPr>
          <w:rFonts w:hint="eastAsia"/>
          <w:szCs w:val="21"/>
        </w:rPr>
        <w:t>年上半年资产报</w:t>
      </w:r>
      <w:r>
        <w:rPr>
          <w:rFonts w:hint="eastAsia" w:ascii="Times New Roman" w:hAnsi="Times New Roman" w:eastAsia="宋体" w:cs="Times New Roman"/>
          <w:szCs w:val="21"/>
        </w:rPr>
        <w:t>废与处置事项鉴定，</w:t>
      </w:r>
      <w:r>
        <w:rPr>
          <w:rFonts w:hint="eastAsia" w:ascii="Times New Roman" w:hAnsi="Times New Roman" w:eastAsia="宋体" w:cs="Times New Roman"/>
          <w:szCs w:val="21"/>
          <w:lang w:val="en-US" w:eastAsia="zh-CN"/>
        </w:rPr>
        <w:t>报废或处置资产主要包含因</w:t>
      </w:r>
      <w:r>
        <w:rPr>
          <w:rFonts w:hint="eastAsia" w:ascii="Times New Roman" w:hAnsi="Times New Roman" w:eastAsia="宋体" w:cs="Times New Roman"/>
          <w:szCs w:val="21"/>
        </w:rPr>
        <w:t>老化或受到损坏、</w:t>
      </w:r>
      <w:r>
        <w:rPr>
          <w:rFonts w:hint="eastAsia" w:ascii="Times New Roman" w:hAnsi="Times New Roman" w:eastAsia="宋体" w:cs="Times New Roman"/>
          <w:szCs w:val="21"/>
          <w:lang w:val="en-US" w:eastAsia="zh-CN"/>
        </w:rPr>
        <w:t>技术更新淘汰、</w:t>
      </w:r>
      <w:r>
        <w:rPr>
          <w:rFonts w:hint="eastAsia" w:ascii="Times New Roman" w:hAnsi="Times New Roman" w:eastAsia="宋体" w:cs="Times New Roman"/>
          <w:szCs w:val="21"/>
        </w:rPr>
        <w:t>无法继续使用的电子设备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机顶盒</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ONU等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维修成本高、无法上路的</w:t>
      </w:r>
      <w:r>
        <w:rPr>
          <w:rFonts w:hint="eastAsia" w:ascii="Times New Roman" w:hAnsi="Times New Roman" w:eastAsia="宋体" w:cs="Times New Roman"/>
          <w:szCs w:val="21"/>
        </w:rPr>
        <w:t>车辆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损坏且无维修价值的</w:t>
      </w:r>
      <w:r>
        <w:rPr>
          <w:rFonts w:hint="eastAsia" w:ascii="Times New Roman" w:hAnsi="Times New Roman" w:eastAsia="宋体" w:cs="Times New Roman"/>
          <w:szCs w:val="21"/>
        </w:rPr>
        <w:t>办公家具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老化、技术更新淘汰、损坏物料等</w:t>
      </w:r>
      <w:r>
        <w:rPr>
          <w:rFonts w:hint="eastAsia" w:ascii="Times New Roman" w:hAnsi="Times New Roman" w:eastAsia="宋体" w:cs="Times New Roman"/>
          <w:szCs w:val="21"/>
        </w:rPr>
        <w:t>。这批拟报废与处置的</w:t>
      </w:r>
      <w:r>
        <w:rPr>
          <w:rFonts w:hint="eastAsia" w:ascii="Times New Roman" w:hAnsi="Times New Roman" w:eastAsia="宋体" w:cs="Times New Roman"/>
          <w:szCs w:val="21"/>
          <w:lang w:val="en-US" w:eastAsia="zh-CN"/>
        </w:rPr>
        <w:t>固定</w:t>
      </w:r>
      <w:r>
        <w:rPr>
          <w:rFonts w:hint="eastAsia" w:ascii="Times New Roman" w:hAnsi="Times New Roman" w:eastAsia="宋体" w:cs="Times New Roman"/>
          <w:szCs w:val="21"/>
        </w:rPr>
        <w:t>资产原值</w:t>
      </w:r>
      <w:r>
        <w:rPr>
          <w:rFonts w:hint="eastAsia" w:ascii="Times New Roman" w:hAnsi="Times New Roman" w:eastAsia="宋体" w:cs="Times New Roman"/>
          <w:szCs w:val="21"/>
          <w:lang w:val="en-US" w:eastAsia="zh-CN"/>
        </w:rPr>
        <w:t>14,582.99万元，固定资产净值为 287.11万元，存货原值32.21万元，存货净值32.21万元，两者合计原值14,615.17万元，资产净值319.32万元。</w:t>
      </w:r>
      <w:r>
        <w:rPr>
          <w:rFonts w:hint="eastAsia" w:ascii="Times New Roman" w:hAnsi="Times New Roman" w:eastAsia="宋体" w:cs="Times New Roman"/>
          <w:szCs w:val="21"/>
        </w:rPr>
        <w:t>对上述处置与报废资产进行资产报废与处置鉴定，并出具鉴证报告。</w:t>
      </w:r>
    </w:p>
    <w:p w14:paraId="6D9A64E2">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二、甲方义务、权利、责任</w:t>
      </w:r>
    </w:p>
    <w:p w14:paraId="047C3BAC">
      <w:pPr>
        <w:numPr>
          <w:ilvl w:val="1"/>
          <w:numId w:val="5"/>
        </w:numPr>
        <w:spacing w:line="360" w:lineRule="auto"/>
        <w:ind w:left="777" w:hanging="357"/>
        <w:rPr>
          <w:rFonts w:hint="eastAsia"/>
          <w:szCs w:val="21"/>
        </w:rPr>
      </w:pPr>
      <w:r>
        <w:rPr>
          <w:rFonts w:hint="eastAsia"/>
          <w:szCs w:val="21"/>
        </w:rPr>
        <w:t>甲方有义务按照乙方的要求，无保留地向乙方介绍委托事项及其所涉及的全部真实情况。</w:t>
      </w:r>
    </w:p>
    <w:p w14:paraId="5EEA048E">
      <w:pPr>
        <w:numPr>
          <w:ilvl w:val="1"/>
          <w:numId w:val="5"/>
        </w:numPr>
        <w:spacing w:line="360" w:lineRule="auto"/>
        <w:rPr>
          <w:rFonts w:hint="eastAsia"/>
          <w:szCs w:val="21"/>
        </w:rPr>
      </w:pPr>
      <w:r>
        <w:rPr>
          <w:rFonts w:hint="eastAsia"/>
          <w:szCs w:val="21"/>
        </w:rPr>
        <w:t>甲方有义务指定相关的技术人员和财务人员配合乙方完成委托事项，</w:t>
      </w:r>
      <w:r>
        <w:rPr>
          <w:rFonts w:hint="eastAsia" w:ascii="宋体" w:hAnsi="宋体"/>
          <w:szCs w:val="21"/>
        </w:rPr>
        <w:t>并对乙方提出的问题做出及时回复。</w:t>
      </w:r>
    </w:p>
    <w:p w14:paraId="7DC44BE8">
      <w:pPr>
        <w:numPr>
          <w:ilvl w:val="1"/>
          <w:numId w:val="5"/>
        </w:numPr>
        <w:spacing w:line="360" w:lineRule="auto"/>
        <w:rPr>
          <w:rFonts w:hint="eastAsia"/>
          <w:szCs w:val="21"/>
        </w:rPr>
      </w:pPr>
      <w:r>
        <w:rPr>
          <w:rFonts w:hint="eastAsia"/>
          <w:szCs w:val="21"/>
        </w:rPr>
        <w:t>甲方有义务向乙方提供必要的工作环境，并负责报销现场办公产生的交通费、住宿费等合理费用。</w:t>
      </w:r>
    </w:p>
    <w:p w14:paraId="21FD382F">
      <w:pPr>
        <w:numPr>
          <w:ilvl w:val="1"/>
          <w:numId w:val="5"/>
        </w:numPr>
        <w:spacing w:line="360" w:lineRule="auto"/>
        <w:rPr>
          <w:rFonts w:hint="eastAsia"/>
          <w:szCs w:val="21"/>
        </w:rPr>
      </w:pPr>
      <w:r>
        <w:rPr>
          <w:rFonts w:hint="eastAsia"/>
          <w:szCs w:val="21"/>
        </w:rPr>
        <w:t>甲方有义务向乙方及时提供委托事项所需的全部文件、资料、证明，并对所提供该等资料的真实性、正确性、合法性承担全部责任。</w:t>
      </w:r>
    </w:p>
    <w:p w14:paraId="5819A276">
      <w:pPr>
        <w:numPr>
          <w:ilvl w:val="1"/>
          <w:numId w:val="5"/>
        </w:numPr>
        <w:spacing w:line="360" w:lineRule="auto"/>
        <w:ind w:left="777" w:hanging="357"/>
        <w:rPr>
          <w:rFonts w:hint="eastAsia"/>
          <w:szCs w:val="21"/>
        </w:rPr>
      </w:pPr>
      <w:r>
        <w:rPr>
          <w:rFonts w:hint="eastAsia"/>
          <w:szCs w:val="21"/>
        </w:rPr>
        <w:t>根据审核需求或乙方需要，甲方有义务补充资料，甲方若未能按时提供或拖延提供应承担违约责任。</w:t>
      </w:r>
    </w:p>
    <w:p w14:paraId="77B9A7C7">
      <w:pPr>
        <w:numPr>
          <w:ilvl w:val="1"/>
          <w:numId w:val="5"/>
        </w:numPr>
        <w:spacing w:line="360" w:lineRule="auto"/>
        <w:rPr>
          <w:rFonts w:hint="eastAsia"/>
          <w:szCs w:val="21"/>
        </w:rPr>
      </w:pPr>
      <w:r>
        <w:rPr>
          <w:rFonts w:hint="eastAsia"/>
          <w:szCs w:val="21"/>
        </w:rPr>
        <w:t>甲方有权随时了解委托事项进展情况，有权对委托事项中的各种问题向乙方进行咨询。</w:t>
      </w:r>
    </w:p>
    <w:p w14:paraId="78434018">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三、乙方义务、权利、责任</w:t>
      </w:r>
    </w:p>
    <w:p w14:paraId="72D750A9">
      <w:pPr>
        <w:numPr>
          <w:ilvl w:val="1"/>
          <w:numId w:val="6"/>
        </w:numPr>
        <w:spacing w:line="360" w:lineRule="auto"/>
        <w:rPr>
          <w:rFonts w:hint="eastAsia"/>
          <w:szCs w:val="21"/>
        </w:rPr>
      </w:pPr>
      <w:r>
        <w:rPr>
          <w:rFonts w:hint="eastAsia"/>
          <w:szCs w:val="21"/>
        </w:rPr>
        <w:t>乙方应及时向甲方提供委托事项的进展及相关政策法规信息。</w:t>
      </w:r>
    </w:p>
    <w:p w14:paraId="4DCEAF21">
      <w:pPr>
        <w:numPr>
          <w:ilvl w:val="1"/>
          <w:numId w:val="6"/>
        </w:numPr>
        <w:spacing w:line="360" w:lineRule="auto"/>
        <w:rPr>
          <w:rFonts w:hint="eastAsia"/>
          <w:szCs w:val="21"/>
        </w:rPr>
      </w:pPr>
      <w:r>
        <w:rPr>
          <w:rFonts w:hint="eastAsia"/>
          <w:szCs w:val="21"/>
        </w:rPr>
        <w:t>乙方在甲方提供委托事项所需全部基础资料的基础上，积极完成委托事项工作。</w:t>
      </w:r>
    </w:p>
    <w:p w14:paraId="27EB1748">
      <w:pPr>
        <w:numPr>
          <w:ilvl w:val="1"/>
          <w:numId w:val="6"/>
        </w:numPr>
        <w:spacing w:line="360" w:lineRule="auto"/>
        <w:rPr>
          <w:szCs w:val="21"/>
        </w:rPr>
      </w:pPr>
      <w:r>
        <w:rPr>
          <w:rFonts w:hint="eastAsia"/>
          <w:szCs w:val="21"/>
        </w:rPr>
        <w:t>乙方应及时解答甲方关于委托事项提出的相关问题。</w:t>
      </w:r>
    </w:p>
    <w:p w14:paraId="6F3551AF">
      <w:pPr>
        <w:numPr>
          <w:ilvl w:val="1"/>
          <w:numId w:val="6"/>
        </w:numPr>
        <w:spacing w:line="360" w:lineRule="auto"/>
        <w:rPr>
          <w:rFonts w:hint="eastAsia"/>
          <w:szCs w:val="21"/>
        </w:rPr>
      </w:pPr>
      <w:r>
        <w:rPr>
          <w:rFonts w:hint="eastAsia"/>
          <w:szCs w:val="21"/>
        </w:rPr>
        <w:t>乙方有权要求甲方指定专业人员负责该项目协调甲方的工作，同时安排一名专职联系人与乙方沟通，协调甲方的工作，以保证乙方的工作进度。</w:t>
      </w:r>
    </w:p>
    <w:p w14:paraId="2714CEE9">
      <w:pPr>
        <w:numPr>
          <w:ilvl w:val="1"/>
          <w:numId w:val="6"/>
        </w:numPr>
        <w:spacing w:line="360" w:lineRule="auto"/>
        <w:rPr>
          <w:szCs w:val="21"/>
        </w:rPr>
      </w:pPr>
      <w:r>
        <w:rPr>
          <w:rFonts w:hint="eastAsia"/>
          <w:szCs w:val="21"/>
        </w:rPr>
        <w:t>乙方根据工作需要，有权要求甲方随时提供或补充资料，以及时顺利完成委托事项。</w:t>
      </w:r>
    </w:p>
    <w:p w14:paraId="31DEA8CF">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四、保密责任</w:t>
      </w:r>
    </w:p>
    <w:p w14:paraId="6FACA5FE">
      <w:pPr>
        <w:spacing w:line="360" w:lineRule="auto"/>
        <w:ind w:firstLine="420" w:firstLineChars="200"/>
        <w:rPr>
          <w:rFonts w:hint="eastAsia" w:ascii="宋体" w:hAnsi="宋体"/>
          <w:szCs w:val="21"/>
        </w:rPr>
      </w:pPr>
      <w:r>
        <w:rPr>
          <w:rFonts w:hint="eastAsia" w:ascii="宋体" w:hAnsi="宋体"/>
          <w:szCs w:val="21"/>
        </w:rPr>
        <w:t>双方约定乙方为甲方本合同约定委托事项的唯一合作人。</w:t>
      </w:r>
      <w:r>
        <w:rPr>
          <w:rFonts w:hint="eastAsia"/>
          <w:szCs w:val="21"/>
        </w:rPr>
        <w:t>甲乙双方对在履行本合同过程中所涉及和了解的甲乙方商业信息、知识产权、商业秘密</w:t>
      </w:r>
      <w:r>
        <w:rPr>
          <w:rFonts w:hint="eastAsia" w:ascii="宋体" w:hAnsi="宋体"/>
          <w:szCs w:val="21"/>
        </w:rPr>
        <w:t>以及其他有价值信息均有保密义务，如因一方泄密而导致对方产生损失，泄密方应承担所有损失给予赔偿。</w:t>
      </w:r>
    </w:p>
    <w:p w14:paraId="6EC97262">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五、费用和付款方式</w:t>
      </w:r>
    </w:p>
    <w:p w14:paraId="1E8CC40B">
      <w:pPr>
        <w:numPr>
          <w:ilvl w:val="1"/>
          <w:numId w:val="7"/>
        </w:numPr>
        <w:spacing w:line="360" w:lineRule="auto"/>
        <w:rPr>
          <w:rFonts w:hint="eastAsia" w:ascii="宋体" w:hAnsi="宋体" w:eastAsia="宋体" w:cs="Times New Roman"/>
          <w:szCs w:val="21"/>
        </w:rPr>
      </w:pPr>
      <w:r>
        <w:rPr>
          <w:rFonts w:hint="eastAsia" w:ascii="宋体" w:hAnsi="宋体"/>
          <w:szCs w:val="21"/>
        </w:rPr>
        <w:t>本次服务费用</w:t>
      </w:r>
      <w:r>
        <w:rPr>
          <w:rFonts w:hint="eastAsia" w:ascii="宋体" w:hAnsi="宋体" w:eastAsia="宋体" w:cs="Times New Roman"/>
          <w:szCs w:val="21"/>
        </w:rPr>
        <w:t>共计</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不含税</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元（大写：人民币</w:t>
      </w:r>
      <w:r>
        <w:rPr>
          <w:rFonts w:hint="eastAsia" w:ascii="宋体" w:hAnsi="宋体" w:eastAsia="宋体" w:cs="Times New Roman"/>
          <w:szCs w:val="21"/>
          <w:lang w:val="en-US" w:eastAsia="zh-CN"/>
        </w:rPr>
        <w:t xml:space="preserve">     元</w:t>
      </w:r>
      <w:r>
        <w:rPr>
          <w:rFonts w:hint="eastAsia" w:ascii="宋体" w:hAnsi="宋体" w:eastAsia="宋体" w:cs="Times New Roman"/>
          <w:szCs w:val="21"/>
        </w:rPr>
        <w:t>整），税率</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2797EEC3">
      <w:pPr>
        <w:numPr>
          <w:ilvl w:val="1"/>
          <w:numId w:val="7"/>
        </w:numPr>
        <w:spacing w:line="360" w:lineRule="auto"/>
        <w:rPr>
          <w:rFonts w:hint="eastAsia" w:ascii="宋体" w:hAnsi="宋体"/>
          <w:szCs w:val="21"/>
        </w:rPr>
      </w:pPr>
      <w:r>
        <w:rPr>
          <w:rFonts w:hint="eastAsia" w:ascii="宋体" w:hAnsi="宋体" w:eastAsia="宋体" w:cs="Times New Roman"/>
          <w:szCs w:val="21"/>
        </w:rPr>
        <w:t>付款方式：</w:t>
      </w:r>
    </w:p>
    <w:p w14:paraId="038DA4F7">
      <w:pPr>
        <w:numPr>
          <w:ilvl w:val="0"/>
          <w:numId w:val="0"/>
        </w:numPr>
        <w:spacing w:line="360" w:lineRule="auto"/>
        <w:ind w:left="420" w:leftChars="0" w:firstLine="420" w:firstLineChars="200"/>
        <w:rPr>
          <w:rFonts w:hint="eastAsia" w:ascii="宋体" w:hAnsi="宋体"/>
          <w:szCs w:val="21"/>
        </w:rPr>
      </w:pPr>
      <w:r>
        <w:rPr>
          <w:rFonts w:hint="eastAsia" w:ascii="宋体" w:hAnsi="宋体"/>
          <w:szCs w:val="21"/>
        </w:rPr>
        <w:t>甲方应于乙方按照本约定书的相关要求完成全部审计工作出具鉴定报告并签署验收报告之日起15个工作日内电汇支付100%。</w:t>
      </w:r>
    </w:p>
    <w:p w14:paraId="2EE951A2">
      <w:pPr>
        <w:numPr>
          <w:ilvl w:val="1"/>
          <w:numId w:val="7"/>
        </w:numPr>
        <w:spacing w:line="360" w:lineRule="auto"/>
        <w:rPr>
          <w:rFonts w:hint="eastAsia" w:ascii="宋体" w:hAnsi="宋体"/>
          <w:szCs w:val="21"/>
        </w:rPr>
      </w:pPr>
      <w:r>
        <w:rPr>
          <w:rFonts w:hint="eastAsia" w:ascii="宋体" w:hAnsi="宋体"/>
          <w:szCs w:val="21"/>
          <w:lang w:val="en-US" w:eastAsia="zh-CN"/>
        </w:rPr>
        <w:t>付款前</w:t>
      </w:r>
      <w:r>
        <w:rPr>
          <w:rFonts w:hint="eastAsia" w:ascii="宋体" w:hAnsi="宋体"/>
          <w:szCs w:val="21"/>
        </w:rPr>
        <w:t>甲方开具等额增值税专用发票。</w:t>
      </w:r>
    </w:p>
    <w:p w14:paraId="54FD9585">
      <w:pPr>
        <w:numPr>
          <w:ilvl w:val="1"/>
          <w:numId w:val="7"/>
        </w:numPr>
        <w:spacing w:line="360" w:lineRule="auto"/>
        <w:rPr>
          <w:rFonts w:hint="eastAsia" w:ascii="宋体" w:hAnsi="宋体"/>
          <w:szCs w:val="21"/>
        </w:rPr>
      </w:pPr>
      <w:r>
        <w:rPr>
          <w:rFonts w:hint="eastAsia" w:ascii="宋体" w:hAnsi="宋体"/>
          <w:szCs w:val="21"/>
        </w:rPr>
        <w:t>乙方指定的账户信息如下：</w:t>
      </w:r>
    </w:p>
    <w:p w14:paraId="51FC08DB">
      <w:pPr>
        <w:spacing w:line="360" w:lineRule="auto"/>
        <w:ind w:left="780"/>
        <w:rPr>
          <w:rFonts w:hint="eastAsia" w:ascii="宋体" w:hAnsi="宋体"/>
          <w:szCs w:val="21"/>
        </w:rPr>
      </w:pPr>
      <w:r>
        <w:rPr>
          <w:rFonts w:hint="eastAsia" w:ascii="宋体" w:hAnsi="宋体"/>
          <w:szCs w:val="21"/>
        </w:rPr>
        <w:t xml:space="preserve">开户行： </w:t>
      </w:r>
      <w:r>
        <w:rPr>
          <w:rFonts w:ascii="宋体" w:hAnsi="宋体"/>
          <w:szCs w:val="21"/>
        </w:rPr>
        <w:t xml:space="preserve">  </w:t>
      </w:r>
    </w:p>
    <w:p w14:paraId="385B84AA">
      <w:pPr>
        <w:spacing w:line="360" w:lineRule="auto"/>
        <w:ind w:left="780"/>
        <w:rPr>
          <w:rFonts w:hint="eastAsia" w:ascii="宋体" w:hAnsi="宋体"/>
          <w:szCs w:val="21"/>
        </w:rPr>
      </w:pPr>
      <w:r>
        <w:rPr>
          <w:rFonts w:hint="eastAsia" w:ascii="宋体" w:hAnsi="宋体"/>
          <w:szCs w:val="21"/>
        </w:rPr>
        <w:t>开户名：</w:t>
      </w:r>
    </w:p>
    <w:p w14:paraId="5BD7962E">
      <w:pPr>
        <w:spacing w:line="360" w:lineRule="auto"/>
        <w:ind w:left="780"/>
        <w:rPr>
          <w:rFonts w:hint="eastAsia" w:ascii="宋体" w:hAnsi="宋体"/>
          <w:szCs w:val="21"/>
        </w:rPr>
      </w:pPr>
      <w:r>
        <w:rPr>
          <w:rFonts w:hint="eastAsia" w:ascii="宋体" w:hAnsi="宋体"/>
          <w:szCs w:val="21"/>
        </w:rPr>
        <w:t>账  号：</w:t>
      </w:r>
    </w:p>
    <w:p w14:paraId="5B8A2177">
      <w:pPr>
        <w:tabs>
          <w:tab w:val="left" w:pos="480"/>
        </w:tabs>
        <w:spacing w:before="156" w:beforeLines="50" w:after="156" w:afterLines="50" w:line="300" w:lineRule="auto"/>
        <w:ind w:left="482" w:hanging="482"/>
        <w:rPr>
          <w:rFonts w:ascii="黑体" w:eastAsia="黑体"/>
          <w:sz w:val="24"/>
          <w:szCs w:val="24"/>
        </w:rPr>
      </w:pPr>
      <w:r>
        <w:rPr>
          <w:rFonts w:hint="eastAsia" w:ascii="黑体" w:eastAsia="黑体"/>
          <w:sz w:val="24"/>
          <w:szCs w:val="24"/>
        </w:rPr>
        <w:t>六、违约责任</w:t>
      </w:r>
    </w:p>
    <w:p w14:paraId="66564465">
      <w:pPr>
        <w:numPr>
          <w:ilvl w:val="1"/>
          <w:numId w:val="8"/>
        </w:numPr>
        <w:spacing w:line="360" w:lineRule="auto"/>
        <w:rPr>
          <w:rFonts w:hint="eastAsia" w:ascii="宋体" w:hAnsi="宋体"/>
          <w:szCs w:val="21"/>
        </w:rPr>
      </w:pPr>
      <w:r>
        <w:rPr>
          <w:rFonts w:hint="eastAsia" w:ascii="宋体" w:hAnsi="宋体"/>
          <w:szCs w:val="21"/>
        </w:rPr>
        <w:t>本合同签订后，双方无正当理由，不得擅自终止或变更。如乙方无正当理由，擅自终止对甲方的服务，则应与甲方协调赔偿由此造成的直接损失；如甲方单方终止合同，或自行或通过其他任何途径完成委托事项，应承担违约责任并赔偿乙方全部损失。违约金按应付委托费用的20%支付。</w:t>
      </w:r>
    </w:p>
    <w:p w14:paraId="665C6831">
      <w:pPr>
        <w:numPr>
          <w:ilvl w:val="1"/>
          <w:numId w:val="8"/>
        </w:numPr>
        <w:spacing w:line="360" w:lineRule="auto"/>
        <w:rPr>
          <w:rFonts w:hint="eastAsia" w:ascii="宋体" w:hAnsi="宋体"/>
          <w:szCs w:val="21"/>
        </w:rPr>
      </w:pPr>
      <w:r>
        <w:rPr>
          <w:rFonts w:hint="eastAsia" w:ascii="宋体" w:hAnsi="宋体"/>
          <w:szCs w:val="21"/>
        </w:rPr>
        <w:t>如甲方逾期付款，甲方将向乙方支付违约金，违约金按应付款额20%一次性支付给乙方。</w:t>
      </w:r>
    </w:p>
    <w:p w14:paraId="487BD72F">
      <w:pPr>
        <w:numPr>
          <w:ilvl w:val="1"/>
          <w:numId w:val="8"/>
        </w:numPr>
        <w:spacing w:line="360" w:lineRule="auto"/>
        <w:rPr>
          <w:rFonts w:hint="eastAsia" w:ascii="宋体" w:hAnsi="宋体"/>
          <w:szCs w:val="21"/>
        </w:rPr>
      </w:pPr>
      <w:r>
        <w:rPr>
          <w:rFonts w:hint="eastAsia" w:ascii="宋体" w:hAnsi="宋体"/>
          <w:szCs w:val="21"/>
        </w:rPr>
        <w:t>因甲方经营问题或未及时提供、补充必要的相关资料，造成乙方未能完成委托事项，乙方对此不负责任，且甲方赔偿乙方所产生的所有费用。如甲方侵犯他人的合法权利，致使本合同无法履行，甲方应当承担相关一切责任，并赔偿乙方所产生的所有费用。</w:t>
      </w:r>
    </w:p>
    <w:p w14:paraId="0F4C5A15">
      <w:pPr>
        <w:numPr>
          <w:ilvl w:val="1"/>
          <w:numId w:val="8"/>
        </w:numPr>
        <w:spacing w:line="360" w:lineRule="auto"/>
        <w:rPr>
          <w:rFonts w:hint="eastAsia" w:ascii="宋体" w:hAnsi="宋体"/>
          <w:szCs w:val="21"/>
        </w:rPr>
      </w:pPr>
      <w:r>
        <w:rPr>
          <w:rFonts w:hint="eastAsia" w:ascii="宋体" w:hAnsi="宋体"/>
          <w:szCs w:val="21"/>
        </w:rPr>
        <w:t>业务办理期间甲乙双方应密切配合，通讯地址及电话等联系方式若有变更，应立即通知对方，如不及时通知，因此造成的一切后果由违约方承担。</w:t>
      </w:r>
    </w:p>
    <w:p w14:paraId="44AE963D">
      <w:pPr>
        <w:numPr>
          <w:ilvl w:val="1"/>
          <w:numId w:val="8"/>
        </w:numPr>
        <w:spacing w:line="360" w:lineRule="auto"/>
        <w:rPr>
          <w:rFonts w:hint="eastAsia" w:ascii="宋体" w:hAnsi="宋体"/>
          <w:szCs w:val="21"/>
        </w:rPr>
      </w:pPr>
      <w:r>
        <w:rPr>
          <w:rFonts w:hint="eastAsia" w:ascii="宋体" w:hAnsi="宋体"/>
          <w:szCs w:val="21"/>
        </w:rPr>
        <w:t>因政府行为国家法律法规政策发生重大调整或不可抗力原因，造成本合同的事项不能正常进行或终止，双方均不负违约责任。</w:t>
      </w:r>
    </w:p>
    <w:p w14:paraId="28D57767">
      <w:pPr>
        <w:tabs>
          <w:tab w:val="left" w:pos="480"/>
        </w:tabs>
        <w:spacing w:before="156" w:beforeLines="50" w:after="156" w:afterLines="50" w:line="300" w:lineRule="auto"/>
        <w:ind w:left="482" w:hanging="482"/>
        <w:rPr>
          <w:rFonts w:hint="eastAsia" w:ascii="黑体" w:eastAsia="黑体"/>
          <w:sz w:val="24"/>
          <w:szCs w:val="24"/>
        </w:rPr>
      </w:pPr>
      <w:r>
        <w:rPr>
          <w:rFonts w:hint="eastAsia" w:ascii="黑体" w:eastAsia="黑体"/>
          <w:sz w:val="24"/>
          <w:szCs w:val="24"/>
        </w:rPr>
        <w:t>七、合同的生效及其它</w:t>
      </w:r>
    </w:p>
    <w:p w14:paraId="793C235B">
      <w:pPr>
        <w:numPr>
          <w:ilvl w:val="1"/>
          <w:numId w:val="9"/>
        </w:numPr>
        <w:spacing w:line="360" w:lineRule="auto"/>
        <w:rPr>
          <w:rFonts w:hint="eastAsia" w:ascii="宋体" w:hAnsi="宋体"/>
          <w:szCs w:val="21"/>
        </w:rPr>
      </w:pPr>
      <w:r>
        <w:rPr>
          <w:rFonts w:hint="eastAsia" w:ascii="宋体" w:hAnsi="宋体"/>
          <w:szCs w:val="21"/>
        </w:rPr>
        <w:t>本合同经甲乙双方盖章后生效。合同一式</w:t>
      </w:r>
      <w:r>
        <w:rPr>
          <w:rFonts w:hint="eastAsia" w:ascii="宋体" w:hAnsi="宋体"/>
          <w:szCs w:val="21"/>
          <w:lang w:val="en-US" w:eastAsia="zh-CN"/>
        </w:rPr>
        <w:t>肆</w:t>
      </w:r>
      <w:r>
        <w:rPr>
          <w:rFonts w:hint="eastAsia" w:ascii="宋体" w:hAnsi="宋体"/>
          <w:szCs w:val="21"/>
        </w:rPr>
        <w:t>份，甲乙双方各执</w:t>
      </w:r>
      <w:r>
        <w:rPr>
          <w:rFonts w:hint="eastAsia" w:ascii="宋体" w:hAnsi="宋体"/>
          <w:szCs w:val="21"/>
          <w:lang w:val="en-US" w:eastAsia="zh-CN"/>
        </w:rPr>
        <w:t>两</w:t>
      </w:r>
      <w:r>
        <w:rPr>
          <w:rFonts w:hint="eastAsia" w:ascii="宋体" w:hAnsi="宋体"/>
          <w:szCs w:val="21"/>
        </w:rPr>
        <w:t>份，具有同等效力。</w:t>
      </w:r>
    </w:p>
    <w:p w14:paraId="6BD4BFE7">
      <w:pPr>
        <w:numPr>
          <w:ilvl w:val="1"/>
          <w:numId w:val="9"/>
        </w:numPr>
        <w:spacing w:line="360" w:lineRule="auto"/>
        <w:rPr>
          <w:rFonts w:hint="eastAsia" w:ascii="宋体" w:hAnsi="宋体"/>
          <w:szCs w:val="21"/>
        </w:rPr>
      </w:pPr>
      <w:r>
        <w:rPr>
          <w:rFonts w:hint="eastAsia" w:ascii="宋体" w:hAnsi="宋体"/>
          <w:szCs w:val="21"/>
        </w:rPr>
        <w:t>如双方履行本合同过程中产生争议，双方应协商解决，如协商不成，双方有权提交济南市历下区人民法院进行诉讼。</w:t>
      </w:r>
    </w:p>
    <w:p w14:paraId="6E40A0BE">
      <w:pPr>
        <w:numPr>
          <w:ilvl w:val="1"/>
          <w:numId w:val="9"/>
        </w:numPr>
        <w:spacing w:line="360" w:lineRule="auto"/>
        <w:rPr>
          <w:rFonts w:ascii="宋体" w:hAnsi="宋体"/>
          <w:szCs w:val="21"/>
        </w:rPr>
      </w:pPr>
      <w:r>
        <w:rPr>
          <w:rFonts w:hint="eastAsia" w:ascii="宋体" w:hAnsi="宋体"/>
          <w:szCs w:val="21"/>
        </w:rPr>
        <w:t>本合同未尽事宜由甲乙双方另行协商。</w:t>
      </w:r>
    </w:p>
    <w:p w14:paraId="65C4BF50">
      <w:pPr>
        <w:spacing w:line="360" w:lineRule="auto"/>
        <w:rPr>
          <w:rFonts w:hint="eastAsia"/>
          <w:szCs w:val="24"/>
        </w:rPr>
      </w:pPr>
    </w:p>
    <w:p w14:paraId="547B87EE">
      <w:pPr>
        <w:spacing w:line="360" w:lineRule="auto"/>
        <w:rPr>
          <w:rFonts w:hint="eastAsia"/>
          <w:szCs w:val="24"/>
        </w:rPr>
      </w:pPr>
    </w:p>
    <w:p w14:paraId="15516E08">
      <w:pPr>
        <w:spacing w:line="360" w:lineRule="auto"/>
        <w:rPr>
          <w:rFonts w:hint="eastAsia"/>
          <w:b/>
          <w:szCs w:val="24"/>
        </w:rPr>
      </w:pPr>
      <w:r>
        <w:rPr>
          <w:rFonts w:hint="eastAsia"/>
          <w:b/>
          <w:szCs w:val="24"/>
        </w:rPr>
        <w:t>甲方： 中国广电山东网络有限公司</w:t>
      </w:r>
      <w:r>
        <w:rPr>
          <w:b/>
          <w:szCs w:val="24"/>
        </w:rPr>
        <w:t xml:space="preserve">                    </w:t>
      </w:r>
      <w:r>
        <w:rPr>
          <w:rFonts w:hint="eastAsia"/>
          <w:b/>
          <w:szCs w:val="24"/>
        </w:rPr>
        <w:t xml:space="preserve"> 乙方：   </w:t>
      </w:r>
    </w:p>
    <w:p w14:paraId="5E7B78F6">
      <w:pPr>
        <w:spacing w:line="360" w:lineRule="auto"/>
        <w:rPr>
          <w:rFonts w:hint="eastAsia"/>
          <w:b/>
          <w:szCs w:val="24"/>
        </w:rPr>
      </w:pPr>
      <w:r>
        <w:rPr>
          <w:rFonts w:hint="eastAsia"/>
          <w:b/>
          <w:szCs w:val="24"/>
        </w:rPr>
        <w:t>企业法人（代理人）：                                 企业法人（代理人）：</w:t>
      </w:r>
    </w:p>
    <w:p w14:paraId="2462503A">
      <w:pPr>
        <w:spacing w:line="360" w:lineRule="auto"/>
        <w:rPr>
          <w:rFonts w:hint="eastAsia"/>
          <w:b/>
          <w:szCs w:val="24"/>
        </w:rPr>
      </w:pPr>
    </w:p>
    <w:p w14:paraId="47878095">
      <w:pPr>
        <w:spacing w:line="360" w:lineRule="auto"/>
        <w:rPr>
          <w:rFonts w:hint="eastAsia"/>
          <w:b/>
          <w:szCs w:val="24"/>
        </w:rPr>
      </w:pPr>
    </w:p>
    <w:p w14:paraId="39EFC8DE">
      <w:pPr>
        <w:spacing w:line="360" w:lineRule="auto"/>
        <w:ind w:firstLine="1476" w:firstLineChars="700"/>
        <w:rPr>
          <w:rFonts w:hint="eastAsia"/>
          <w:b/>
          <w:szCs w:val="24"/>
        </w:rPr>
      </w:pPr>
      <w:r>
        <w:rPr>
          <w:rFonts w:hint="eastAsia"/>
          <w:b/>
          <w:szCs w:val="24"/>
        </w:rPr>
        <w:t>年    月    日                                              年    月    日</w:t>
      </w:r>
    </w:p>
    <w:p w14:paraId="00CDF99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B668"/>
    <w:multiLevelType w:val="singleLevel"/>
    <w:tmpl w:val="AABFB668"/>
    <w:lvl w:ilvl="0" w:tentative="0">
      <w:start w:val="1"/>
      <w:numFmt w:val="chineseCounting"/>
      <w:suff w:val="nothing"/>
      <w:lvlText w:val="（%1）"/>
      <w:lvlJc w:val="left"/>
      <w:rPr>
        <w:rFonts w:hint="eastAsia"/>
      </w:rPr>
    </w:lvl>
  </w:abstractNum>
  <w:abstractNum w:abstractNumId="1">
    <w:nsid w:val="D953CB63"/>
    <w:multiLevelType w:val="singleLevel"/>
    <w:tmpl w:val="D953CB63"/>
    <w:lvl w:ilvl="0" w:tentative="0">
      <w:start w:val="10"/>
      <w:numFmt w:val="chineseCounting"/>
      <w:suff w:val="nothing"/>
      <w:lvlText w:val="%1、"/>
      <w:lvlJc w:val="left"/>
      <w:rPr>
        <w:rFonts w:hint="eastAsia"/>
      </w:rPr>
    </w:lvl>
  </w:abstractNum>
  <w:abstractNum w:abstractNumId="2">
    <w:nsid w:val="DE767FDD"/>
    <w:multiLevelType w:val="singleLevel"/>
    <w:tmpl w:val="DE767FDD"/>
    <w:lvl w:ilvl="0" w:tentative="0">
      <w:start w:val="1"/>
      <w:numFmt w:val="decimal"/>
      <w:lvlText w:val="%1."/>
      <w:lvlJc w:val="left"/>
      <w:pPr>
        <w:ind w:left="425" w:hanging="425"/>
      </w:pPr>
      <w:rPr>
        <w:rFonts w:hint="default"/>
      </w:rPr>
    </w:lvl>
  </w:abstractNum>
  <w:abstractNum w:abstractNumId="3">
    <w:nsid w:val="E39B2529"/>
    <w:multiLevelType w:val="singleLevel"/>
    <w:tmpl w:val="E39B2529"/>
    <w:lvl w:ilvl="0" w:tentative="0">
      <w:start w:val="5"/>
      <w:numFmt w:val="chineseCounting"/>
      <w:suff w:val="nothing"/>
      <w:lvlText w:val="%1、"/>
      <w:lvlJc w:val="left"/>
      <w:rPr>
        <w:rFonts w:hint="eastAsia"/>
      </w:rPr>
    </w:lvl>
  </w:abstractNum>
  <w:abstractNum w:abstractNumId="4">
    <w:nsid w:val="00000002"/>
    <w:multiLevelType w:val="multilevel"/>
    <w:tmpl w:val="00000002"/>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2.%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8949EB"/>
    <w:multiLevelType w:val="multilevel"/>
    <w:tmpl w:val="198949EB"/>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7.%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6">
    <w:nsid w:val="2C0D331E"/>
    <w:multiLevelType w:val="multilevel"/>
    <w:tmpl w:val="2C0D331E"/>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6.%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7">
    <w:nsid w:val="629D6B03"/>
    <w:multiLevelType w:val="multilevel"/>
    <w:tmpl w:val="629D6B03"/>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5.%2"/>
      <w:lvlJc w:val="left"/>
      <w:pPr>
        <w:tabs>
          <w:tab w:val="left" w:pos="780"/>
        </w:tabs>
        <w:ind w:left="780" w:hanging="360"/>
      </w:pPr>
      <w:rPr>
        <w:rFonts w:hint="default" w:ascii="Calibri" w:hAnsi="Calibri" w:cs="Calibri"/>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8">
    <w:nsid w:val="76FF746F"/>
    <w:multiLevelType w:val="multilevel"/>
    <w:tmpl w:val="76FF746F"/>
    <w:lvl w:ilvl="0" w:tentative="0">
      <w:start w:val="1"/>
      <w:numFmt w:val="japaneseCounting"/>
      <w:lvlText w:val="%1、"/>
      <w:lvlJc w:val="left"/>
      <w:pPr>
        <w:tabs>
          <w:tab w:val="left" w:pos="480"/>
        </w:tabs>
        <w:ind w:left="480" w:hanging="480"/>
      </w:pPr>
      <w:rPr>
        <w:rFonts w:hint="eastAsia" w:cs="Times New Roman"/>
      </w:rPr>
    </w:lvl>
    <w:lvl w:ilvl="1" w:tentative="0">
      <w:start w:val="1"/>
      <w:numFmt w:val="decimal"/>
      <w:lvlText w:val="3.%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2"/>
  </w:num>
  <w:num w:numId="2">
    <w:abstractNumId w:val="3"/>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mNkZGU4NmUxMTNmOTlhMGRjMDNhZTQ4MWYzZmEifQ=="/>
  </w:docVars>
  <w:rsids>
    <w:rsidRoot w:val="03D165EE"/>
    <w:rsid w:val="023D46EC"/>
    <w:rsid w:val="03993C05"/>
    <w:rsid w:val="03D165EE"/>
    <w:rsid w:val="03D746CC"/>
    <w:rsid w:val="053F6A98"/>
    <w:rsid w:val="06C929F2"/>
    <w:rsid w:val="0BD0037E"/>
    <w:rsid w:val="0E9C279A"/>
    <w:rsid w:val="12E05D5D"/>
    <w:rsid w:val="13697BED"/>
    <w:rsid w:val="15891CCA"/>
    <w:rsid w:val="17CD4083"/>
    <w:rsid w:val="182D5EAD"/>
    <w:rsid w:val="18D53221"/>
    <w:rsid w:val="19892179"/>
    <w:rsid w:val="1CC655B2"/>
    <w:rsid w:val="1DB25B36"/>
    <w:rsid w:val="1F99651E"/>
    <w:rsid w:val="214747E7"/>
    <w:rsid w:val="27552AE1"/>
    <w:rsid w:val="29746395"/>
    <w:rsid w:val="2D60735C"/>
    <w:rsid w:val="2D8748E9"/>
    <w:rsid w:val="2E840E29"/>
    <w:rsid w:val="311A023C"/>
    <w:rsid w:val="311F752F"/>
    <w:rsid w:val="317B29B7"/>
    <w:rsid w:val="332612C7"/>
    <w:rsid w:val="341B5D8B"/>
    <w:rsid w:val="3511718E"/>
    <w:rsid w:val="36260A17"/>
    <w:rsid w:val="37AD673A"/>
    <w:rsid w:val="407A656B"/>
    <w:rsid w:val="41265D6F"/>
    <w:rsid w:val="41636FC4"/>
    <w:rsid w:val="428E126D"/>
    <w:rsid w:val="44BF2763"/>
    <w:rsid w:val="459B31D0"/>
    <w:rsid w:val="4929464F"/>
    <w:rsid w:val="497766CA"/>
    <w:rsid w:val="4F3A75B6"/>
    <w:rsid w:val="5019366F"/>
    <w:rsid w:val="510F05CE"/>
    <w:rsid w:val="51C104A5"/>
    <w:rsid w:val="52951C79"/>
    <w:rsid w:val="5855720E"/>
    <w:rsid w:val="5A4E2167"/>
    <w:rsid w:val="5F8B1C87"/>
    <w:rsid w:val="62C872A0"/>
    <w:rsid w:val="65A0478F"/>
    <w:rsid w:val="690600B1"/>
    <w:rsid w:val="739E0D75"/>
    <w:rsid w:val="76452218"/>
    <w:rsid w:val="7A862E00"/>
    <w:rsid w:val="7C87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toa heading"/>
    <w:basedOn w:val="1"/>
    <w:next w:val="1"/>
    <w:qFormat/>
    <w:uiPriority w:val="0"/>
    <w:pPr>
      <w:spacing w:before="120"/>
    </w:pPr>
    <w:rPr>
      <w:rFonts w:ascii="Arial" w:hAnsi="Arial" w:eastAsia="宋体" w:cs="Times New Roman"/>
      <w:sz w:val="24"/>
      <w:szCs w:val="2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style>
  <w:style w:type="character" w:styleId="14">
    <w:name w:val="Hyperlink"/>
    <w:basedOn w:val="11"/>
    <w:qFormat/>
    <w:uiPriority w:val="0"/>
    <w:rPr>
      <w:color w:val="0000FF"/>
      <w:u w:val="single"/>
    </w:rPr>
  </w:style>
  <w:style w:type="paragraph" w:customStyle="1" w:styleId="15">
    <w:name w:val="样式3"/>
    <w:basedOn w:val="1"/>
    <w:qFormat/>
    <w:uiPriority w:val="99"/>
    <w:pPr>
      <w:widowControl/>
      <w:spacing w:line="480" w:lineRule="exact"/>
      <w:jc w:val="center"/>
    </w:pPr>
    <w:rPr>
      <w:rFonts w:ascii="Arial" w:hAnsi="Arial" w:eastAsia="黑体" w:cs="Times New Roman"/>
      <w:spacing w:val="6"/>
      <w:kern w:val="0"/>
      <w:sz w:val="32"/>
      <w:szCs w:val="20"/>
    </w:rPr>
  </w:style>
  <w:style w:type="paragraph" w:customStyle="1" w:styleId="16">
    <w:name w:val="样式9 Char"/>
    <w:basedOn w:val="1"/>
    <w:qFormat/>
    <w:uiPriority w:val="99"/>
    <w:pPr>
      <w:widowControl/>
      <w:spacing w:line="440" w:lineRule="exact"/>
      <w:ind w:firstLine="200" w:firstLineChars="200"/>
      <w:jc w:val="left"/>
    </w:pPr>
    <w:rPr>
      <w:rFonts w:ascii="Times New Roman" w:hAnsi="Times New Roman" w:eastAsia="宋体" w:cs="Times New Roman"/>
      <w:spacing w:val="6"/>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3616</Words>
  <Characters>4217</Characters>
  <Lines>0</Lines>
  <Paragraphs>0</Paragraphs>
  <TotalTime>21</TotalTime>
  <ScaleCrop>false</ScaleCrop>
  <LinksUpToDate>false</LinksUpToDate>
  <CharactersWithSpaces>5044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2023-11-27T06:54:00Z</dcterms:created>
  <dc:creator>~@_@~</dc:creator>
  <cp:lastModifiedBy>微信用户</cp:lastModifiedBy>
  <dcterms:modified xsi:type="dcterms:W3CDTF">2025-09-10T08:34:10Z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2E1E539DC9864341B46245247E333C06_11</vt:lpwstr>
  </property>
  <property fmtid="{D5CDD505-2E9C-101B-9397-08002B2CF9AE}" pid="4" name="KSOTemplateDocerSaveRecord">
    <vt:lpwstr>eyJoZGlkIjoiNTY5NmNkZGU4NmUxMTNmOTlhMGRjMDNhZTQ4MWYzZmEiLCJ1c2VySWQiOiIxNTYxNTEzMjkyIn0=</vt:lpwstr>
  </property>
</Properties>
</file>